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19A" w:rsidRPr="00A55220" w:rsidRDefault="00CC019A" w:rsidP="00A55220">
      <w:pPr>
        <w:pStyle w:val="Titre3"/>
        <w:numPr>
          <w:ilvl w:val="1"/>
          <w:numId w:val="1"/>
        </w:numPr>
        <w:spacing w:before="240"/>
        <w:ind w:left="425" w:hanging="425"/>
        <w:rPr>
          <w:rFonts w:asciiTheme="majorBidi" w:hAnsiTheme="majorBidi" w:cstheme="majorBidi"/>
          <w:sz w:val="28"/>
          <w:szCs w:val="28"/>
        </w:rPr>
      </w:pPr>
      <w:bookmarkStart w:id="0" w:name="_Toc418546444"/>
      <w:bookmarkStart w:id="1" w:name="_Toc418550251"/>
      <w:r w:rsidRPr="00A55220">
        <w:rPr>
          <w:rFonts w:asciiTheme="majorBidi" w:hAnsiTheme="majorBidi" w:cstheme="majorBidi"/>
          <w:sz w:val="28"/>
          <w:szCs w:val="28"/>
        </w:rPr>
        <w:t>Introduction</w:t>
      </w:r>
      <w:bookmarkEnd w:id="0"/>
      <w:bookmarkEnd w:id="1"/>
    </w:p>
    <w:p w:rsidR="00CC019A" w:rsidRPr="00A55220" w:rsidRDefault="00CC019A" w:rsidP="00CC019A">
      <w:pPr>
        <w:autoSpaceDE w:val="0"/>
        <w:autoSpaceDN w:val="0"/>
        <w:spacing w:line="360" w:lineRule="auto"/>
        <w:ind w:firstLine="426"/>
        <w:rPr>
          <w:rFonts w:asciiTheme="majorBidi" w:hAnsiTheme="majorBidi" w:cstheme="majorBidi"/>
          <w:sz w:val="24"/>
          <w:shd w:val="clear" w:color="auto" w:fill="FFFFFF"/>
        </w:rPr>
      </w:pPr>
      <w:r w:rsidRPr="00A55220">
        <w:rPr>
          <w:rFonts w:asciiTheme="majorBidi" w:hAnsiTheme="majorBidi" w:cstheme="majorBidi"/>
          <w:sz w:val="24"/>
          <w:shd w:val="clear" w:color="auto" w:fill="FFFFFF"/>
        </w:rPr>
        <w:t>Un</w:t>
      </w:r>
      <w:r w:rsidRPr="00A55220">
        <w:rPr>
          <w:rStyle w:val="apple-converted-space"/>
          <w:rFonts w:asciiTheme="majorBidi" w:hAnsiTheme="majorBidi" w:cstheme="majorBidi"/>
          <w:sz w:val="24"/>
          <w:shd w:val="clear" w:color="auto" w:fill="FFFFFF"/>
        </w:rPr>
        <w:t> </w:t>
      </w:r>
      <w:r w:rsidRPr="00A55220">
        <w:rPr>
          <w:rFonts w:asciiTheme="majorBidi" w:hAnsiTheme="majorBidi" w:cstheme="majorBidi"/>
          <w:sz w:val="24"/>
          <w:shd w:val="clear" w:color="auto" w:fill="FFFFFF"/>
        </w:rPr>
        <w:t>semi-conducteur</w:t>
      </w:r>
      <w:r w:rsidRPr="00A55220">
        <w:rPr>
          <w:rStyle w:val="apple-converted-space"/>
          <w:rFonts w:asciiTheme="majorBidi" w:hAnsiTheme="majorBidi" w:cstheme="majorBidi"/>
          <w:sz w:val="24"/>
          <w:shd w:val="clear" w:color="auto" w:fill="FFFFFF"/>
        </w:rPr>
        <w:t> </w:t>
      </w:r>
      <w:r w:rsidRPr="00A55220">
        <w:rPr>
          <w:rFonts w:asciiTheme="majorBidi" w:hAnsiTheme="majorBidi" w:cstheme="majorBidi"/>
          <w:sz w:val="24"/>
          <w:shd w:val="clear" w:color="auto" w:fill="FFFFFF"/>
        </w:rPr>
        <w:t>est un</w:t>
      </w:r>
      <w:r w:rsidRPr="00A55220">
        <w:rPr>
          <w:rStyle w:val="apple-converted-space"/>
          <w:rFonts w:asciiTheme="majorBidi" w:hAnsiTheme="majorBidi" w:cstheme="majorBidi"/>
          <w:sz w:val="24"/>
          <w:shd w:val="clear" w:color="auto" w:fill="FFFFFF"/>
        </w:rPr>
        <w:t> </w:t>
      </w:r>
      <w:hyperlink r:id="rId7" w:tooltip="Matériau" w:history="1">
        <w:r w:rsidRPr="00A55220">
          <w:rPr>
            <w:rStyle w:val="Lienhypertexte"/>
            <w:rFonts w:asciiTheme="majorBidi" w:hAnsiTheme="majorBidi" w:cstheme="majorBidi"/>
            <w:color w:val="auto"/>
            <w:sz w:val="24"/>
            <w:u w:val="none"/>
            <w:shd w:val="clear" w:color="auto" w:fill="FFFFFF"/>
          </w:rPr>
          <w:t>matériau</w:t>
        </w:r>
      </w:hyperlink>
      <w:r w:rsidRPr="00A55220">
        <w:rPr>
          <w:rStyle w:val="apple-converted-space"/>
          <w:rFonts w:asciiTheme="majorBidi" w:hAnsiTheme="majorBidi" w:cstheme="majorBidi"/>
          <w:sz w:val="24"/>
          <w:shd w:val="clear" w:color="auto" w:fill="FFFFFF"/>
        </w:rPr>
        <w:t> </w:t>
      </w:r>
      <w:r w:rsidRPr="00A55220">
        <w:rPr>
          <w:rFonts w:asciiTheme="majorBidi" w:hAnsiTheme="majorBidi" w:cstheme="majorBidi"/>
          <w:sz w:val="24"/>
          <w:shd w:val="clear" w:color="auto" w:fill="FFFFFF"/>
        </w:rPr>
        <w:t>qui a les caractéristiques électriques d'un</w:t>
      </w:r>
      <w:r w:rsidRPr="00A55220">
        <w:rPr>
          <w:rStyle w:val="apple-converted-space"/>
          <w:rFonts w:asciiTheme="majorBidi" w:hAnsiTheme="majorBidi" w:cstheme="majorBidi"/>
          <w:sz w:val="24"/>
          <w:shd w:val="clear" w:color="auto" w:fill="FFFFFF"/>
        </w:rPr>
        <w:t> </w:t>
      </w:r>
      <w:hyperlink r:id="rId8" w:tooltip="Isolant électrique" w:history="1">
        <w:r w:rsidRPr="00A55220">
          <w:rPr>
            <w:rStyle w:val="Lienhypertexte"/>
            <w:rFonts w:asciiTheme="majorBidi" w:hAnsiTheme="majorBidi" w:cstheme="majorBidi"/>
            <w:color w:val="auto"/>
            <w:sz w:val="24"/>
            <w:u w:val="none"/>
            <w:shd w:val="clear" w:color="auto" w:fill="FFFFFF"/>
          </w:rPr>
          <w:t>isolant</w:t>
        </w:r>
      </w:hyperlink>
      <w:r w:rsidRPr="00A55220">
        <w:rPr>
          <w:rFonts w:asciiTheme="majorBidi" w:hAnsiTheme="majorBidi" w:cstheme="majorBidi"/>
          <w:sz w:val="24"/>
          <w:shd w:val="clear" w:color="auto" w:fill="FFFFFF"/>
        </w:rPr>
        <w:t>, mais pour lequel la probabilité qu'un</w:t>
      </w:r>
      <w:r w:rsidRPr="00A55220">
        <w:rPr>
          <w:rStyle w:val="apple-converted-space"/>
          <w:rFonts w:asciiTheme="majorBidi" w:hAnsiTheme="majorBidi" w:cstheme="majorBidi"/>
          <w:sz w:val="24"/>
          <w:shd w:val="clear" w:color="auto" w:fill="FFFFFF"/>
        </w:rPr>
        <w:t> </w:t>
      </w:r>
      <w:hyperlink r:id="rId9" w:tooltip="Électron" w:history="1">
        <w:r w:rsidRPr="00A55220">
          <w:rPr>
            <w:rStyle w:val="Lienhypertexte"/>
            <w:rFonts w:asciiTheme="majorBidi" w:hAnsiTheme="majorBidi" w:cstheme="majorBidi"/>
            <w:color w:val="auto"/>
            <w:sz w:val="24"/>
            <w:u w:val="none"/>
            <w:shd w:val="clear" w:color="auto" w:fill="FFFFFF"/>
          </w:rPr>
          <w:t>électron</w:t>
        </w:r>
      </w:hyperlink>
      <w:r w:rsidRPr="00A55220">
        <w:rPr>
          <w:rStyle w:val="apple-converted-space"/>
          <w:rFonts w:asciiTheme="majorBidi" w:hAnsiTheme="majorBidi" w:cstheme="majorBidi"/>
          <w:sz w:val="24"/>
          <w:shd w:val="clear" w:color="auto" w:fill="FFFFFF"/>
        </w:rPr>
        <w:t> </w:t>
      </w:r>
      <w:r w:rsidRPr="00A55220">
        <w:rPr>
          <w:rFonts w:asciiTheme="majorBidi" w:hAnsiTheme="majorBidi" w:cstheme="majorBidi"/>
          <w:sz w:val="24"/>
          <w:shd w:val="clear" w:color="auto" w:fill="FFFFFF"/>
        </w:rPr>
        <w:t>puisse contribuer à un courant électrique, quoique faible, est suffisamment importante. En d'autres termes, la</w:t>
      </w:r>
      <w:r w:rsidRPr="00A55220">
        <w:rPr>
          <w:rStyle w:val="apple-converted-space"/>
          <w:rFonts w:asciiTheme="majorBidi" w:hAnsiTheme="majorBidi" w:cstheme="majorBidi"/>
          <w:sz w:val="24"/>
          <w:shd w:val="clear" w:color="auto" w:fill="FFFFFF"/>
        </w:rPr>
        <w:t> </w:t>
      </w:r>
      <w:hyperlink r:id="rId10" w:tooltip="Conductivité électrique" w:history="1">
        <w:r w:rsidRPr="00A55220">
          <w:rPr>
            <w:rStyle w:val="Lienhypertexte"/>
            <w:rFonts w:asciiTheme="majorBidi" w:hAnsiTheme="majorBidi" w:cstheme="majorBidi"/>
            <w:color w:val="auto"/>
            <w:sz w:val="24"/>
            <w:u w:val="none"/>
            <w:shd w:val="clear" w:color="auto" w:fill="FFFFFF"/>
          </w:rPr>
          <w:t>conductivité électrique</w:t>
        </w:r>
      </w:hyperlink>
      <w:r w:rsidRPr="00A55220">
        <w:rPr>
          <w:rStyle w:val="apple-converted-space"/>
          <w:rFonts w:asciiTheme="majorBidi" w:hAnsiTheme="majorBidi" w:cstheme="majorBidi"/>
          <w:sz w:val="24"/>
          <w:shd w:val="clear" w:color="auto" w:fill="FFFFFF"/>
        </w:rPr>
        <w:t> </w:t>
      </w:r>
      <w:r w:rsidRPr="00A55220">
        <w:rPr>
          <w:rFonts w:asciiTheme="majorBidi" w:hAnsiTheme="majorBidi" w:cstheme="majorBidi"/>
          <w:sz w:val="24"/>
          <w:shd w:val="clear" w:color="auto" w:fill="FFFFFF"/>
        </w:rPr>
        <w:t>d'un semi-conducteur est intermédiaire entre celle des</w:t>
      </w:r>
      <w:r w:rsidRPr="00A55220">
        <w:rPr>
          <w:rStyle w:val="apple-converted-space"/>
          <w:rFonts w:asciiTheme="majorBidi" w:hAnsiTheme="majorBidi" w:cstheme="majorBidi"/>
          <w:sz w:val="24"/>
          <w:shd w:val="clear" w:color="auto" w:fill="FFFFFF"/>
        </w:rPr>
        <w:t> </w:t>
      </w:r>
      <w:hyperlink r:id="rId11" w:tooltip="Métal" w:history="1">
        <w:r w:rsidRPr="00A55220">
          <w:rPr>
            <w:rStyle w:val="Lienhypertexte"/>
            <w:rFonts w:asciiTheme="majorBidi" w:hAnsiTheme="majorBidi" w:cstheme="majorBidi"/>
            <w:color w:val="auto"/>
            <w:sz w:val="24"/>
            <w:u w:val="none"/>
            <w:shd w:val="clear" w:color="auto" w:fill="FFFFFF"/>
          </w:rPr>
          <w:t>métaux</w:t>
        </w:r>
      </w:hyperlink>
      <w:r w:rsidRPr="00A55220">
        <w:rPr>
          <w:rStyle w:val="apple-converted-space"/>
          <w:rFonts w:asciiTheme="majorBidi" w:hAnsiTheme="majorBidi" w:cstheme="majorBidi"/>
          <w:sz w:val="24"/>
          <w:shd w:val="clear" w:color="auto" w:fill="FFFFFF"/>
        </w:rPr>
        <w:t> </w:t>
      </w:r>
      <w:r w:rsidRPr="00A55220">
        <w:rPr>
          <w:rFonts w:asciiTheme="majorBidi" w:hAnsiTheme="majorBidi" w:cstheme="majorBidi"/>
          <w:sz w:val="24"/>
          <w:shd w:val="clear" w:color="auto" w:fill="FFFFFF"/>
        </w:rPr>
        <w:t>et celle des isolants [2].</w:t>
      </w:r>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L’objectif de ce chapitre est de présenter les différents types des transistors en commençant par les transistors classiques (bipolaires) et par ordre chronologique aux différents transistors à effet de champ et de montrer leurs avantages et inconvénients et domaines d’utilisations. Cette partie est  éclaircie par une description géométrique et physique lors de traitement de ces différents transistors. La dernière partie est dédiée, à un panorama  des différents transistors actuels tels que : JFET, MOSFET, MESFET et les HEMT.</w:t>
      </w:r>
    </w:p>
    <w:p w:rsidR="00CC019A" w:rsidRPr="00A55220" w:rsidRDefault="00CC019A" w:rsidP="004C49EF">
      <w:pPr>
        <w:pStyle w:val="Titre3"/>
        <w:numPr>
          <w:ilvl w:val="0"/>
          <w:numId w:val="29"/>
        </w:numPr>
        <w:ind w:left="426" w:hanging="426"/>
        <w:rPr>
          <w:rFonts w:asciiTheme="majorBidi" w:hAnsiTheme="majorBidi" w:cstheme="majorBidi"/>
          <w:sz w:val="28"/>
          <w:szCs w:val="28"/>
        </w:rPr>
      </w:pPr>
      <w:bookmarkStart w:id="2" w:name="_Toc418546445"/>
      <w:bookmarkStart w:id="3" w:name="_Toc418550252"/>
      <w:r w:rsidRPr="00A55220">
        <w:rPr>
          <w:rFonts w:asciiTheme="majorBidi" w:hAnsiTheme="majorBidi" w:cstheme="majorBidi"/>
          <w:sz w:val="28"/>
          <w:szCs w:val="28"/>
        </w:rPr>
        <w:t>Les Semi-conducteurs</w:t>
      </w:r>
      <w:bookmarkEnd w:id="2"/>
      <w:bookmarkEnd w:id="3"/>
    </w:p>
    <w:p w:rsidR="00CC019A" w:rsidRPr="00A55220" w:rsidRDefault="004C49EF" w:rsidP="00CC019A">
      <w:pPr>
        <w:pStyle w:val="Titre4"/>
        <w:spacing w:before="120"/>
        <w:rPr>
          <w:rFonts w:asciiTheme="majorBidi" w:hAnsiTheme="majorBidi" w:cstheme="majorBidi"/>
          <w:szCs w:val="24"/>
        </w:rPr>
      </w:pPr>
      <w:bookmarkStart w:id="4" w:name="_Toc418546446"/>
      <w:bookmarkStart w:id="5" w:name="_Toc418550253"/>
      <w:r w:rsidRPr="00A55220">
        <w:rPr>
          <w:rFonts w:asciiTheme="majorBidi" w:hAnsiTheme="majorBidi" w:cstheme="majorBidi"/>
          <w:szCs w:val="24"/>
        </w:rPr>
        <w:t xml:space="preserve">I.2.1. </w:t>
      </w:r>
      <w:r w:rsidR="00CC019A" w:rsidRPr="00A55220">
        <w:rPr>
          <w:rFonts w:asciiTheme="majorBidi" w:hAnsiTheme="majorBidi" w:cstheme="majorBidi"/>
          <w:szCs w:val="24"/>
        </w:rPr>
        <w:t>Structure des semi-conducteurs</w:t>
      </w:r>
      <w:bookmarkEnd w:id="4"/>
      <w:bookmarkEnd w:id="5"/>
      <w:r w:rsidR="00CC019A" w:rsidRPr="00A55220">
        <w:rPr>
          <w:rFonts w:asciiTheme="majorBidi" w:hAnsiTheme="majorBidi" w:cstheme="majorBidi"/>
          <w:szCs w:val="24"/>
        </w:rPr>
        <w:t xml:space="preserve"> [2]</w:t>
      </w:r>
    </w:p>
    <w:p w:rsidR="00CC019A" w:rsidRPr="00A55220" w:rsidRDefault="00A55220" w:rsidP="00FC6B78">
      <w:pPr>
        <w:autoSpaceDE w:val="0"/>
        <w:autoSpaceDN w:val="0"/>
        <w:spacing w:line="360" w:lineRule="auto"/>
        <w:ind w:firstLine="426"/>
        <w:rPr>
          <w:rFonts w:asciiTheme="majorBidi" w:hAnsiTheme="majorBidi" w:cstheme="majorBidi"/>
          <w:sz w:val="24"/>
        </w:rPr>
      </w:pPr>
      <w:r>
        <w:rPr>
          <w:rFonts w:asciiTheme="majorBidi" w:hAnsiTheme="majorBidi" w:cstheme="majorBidi"/>
          <w:noProof/>
          <w:sz w:val="24"/>
        </w:rPr>
        <w:drawing>
          <wp:anchor distT="0" distB="0" distL="114300" distR="114300" simplePos="0" relativeHeight="251665408" behindDoc="1" locked="0" layoutInCell="1" allowOverlap="1">
            <wp:simplePos x="0" y="0"/>
            <wp:positionH relativeFrom="column">
              <wp:posOffset>645795</wp:posOffset>
            </wp:positionH>
            <wp:positionV relativeFrom="paragraph">
              <wp:posOffset>445770</wp:posOffset>
            </wp:positionV>
            <wp:extent cx="1774825" cy="1552575"/>
            <wp:effectExtent l="19050" t="0" r="0" b="0"/>
            <wp:wrapTight wrapText="bothSides">
              <wp:wrapPolygon edited="0">
                <wp:start x="-232" y="0"/>
                <wp:lineTo x="-232" y="21467"/>
                <wp:lineTo x="21561" y="21467"/>
                <wp:lineTo x="21561" y="0"/>
                <wp:lineTo x="-232" y="0"/>
              </wp:wrapPolygon>
            </wp:wrapTight>
            <wp:docPr id="3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1774825" cy="1552575"/>
                    </a:xfrm>
                    <a:prstGeom prst="rect">
                      <a:avLst/>
                    </a:prstGeom>
                    <a:noFill/>
                    <a:ln w="9525">
                      <a:noFill/>
                      <a:miter lim="800000"/>
                      <a:headEnd/>
                      <a:tailEnd/>
                    </a:ln>
                  </pic:spPr>
                </pic:pic>
              </a:graphicData>
            </a:graphic>
          </wp:anchor>
        </w:drawing>
      </w:r>
      <w:r>
        <w:rPr>
          <w:rFonts w:asciiTheme="majorBidi" w:hAnsiTheme="majorBidi" w:cstheme="majorBidi"/>
          <w:noProof/>
          <w:sz w:val="24"/>
        </w:rPr>
        <w:drawing>
          <wp:anchor distT="0" distB="0" distL="114300" distR="114300" simplePos="0" relativeHeight="251664384" behindDoc="1" locked="0" layoutInCell="1" allowOverlap="1">
            <wp:simplePos x="0" y="0"/>
            <wp:positionH relativeFrom="margin">
              <wp:posOffset>3592195</wp:posOffset>
            </wp:positionH>
            <wp:positionV relativeFrom="margin">
              <wp:posOffset>4713605</wp:posOffset>
            </wp:positionV>
            <wp:extent cx="1473200" cy="1552575"/>
            <wp:effectExtent l="19050" t="0" r="0" b="0"/>
            <wp:wrapTight wrapText="bothSides">
              <wp:wrapPolygon edited="0">
                <wp:start x="-279" y="0"/>
                <wp:lineTo x="-279" y="21467"/>
                <wp:lineTo x="21507" y="21467"/>
                <wp:lineTo x="21507" y="0"/>
                <wp:lineTo x="-279" y="0"/>
              </wp:wrapPolygon>
            </wp:wrapTight>
            <wp:docPr id="3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1473200" cy="1552575"/>
                    </a:xfrm>
                    <a:prstGeom prst="rect">
                      <a:avLst/>
                    </a:prstGeom>
                    <a:noFill/>
                    <a:ln w="9525">
                      <a:noFill/>
                      <a:miter lim="800000"/>
                      <a:headEnd/>
                      <a:tailEnd/>
                    </a:ln>
                  </pic:spPr>
                </pic:pic>
              </a:graphicData>
            </a:graphic>
          </wp:anchor>
        </w:drawing>
      </w:r>
      <w:r w:rsidR="00CC019A" w:rsidRPr="00A55220">
        <w:rPr>
          <w:rFonts w:asciiTheme="majorBidi" w:hAnsiTheme="majorBidi" w:cstheme="majorBidi"/>
          <w:sz w:val="24"/>
        </w:rPr>
        <w:t xml:space="preserve">La structure du silicium et du germanium est la même que celle du diamant. </w:t>
      </w:r>
    </w:p>
    <w:p w:rsidR="00CC019A" w:rsidRDefault="00CC019A" w:rsidP="00CC019A">
      <w:pPr>
        <w:autoSpaceDE w:val="0"/>
        <w:autoSpaceDN w:val="0"/>
        <w:spacing w:line="360" w:lineRule="auto"/>
        <w:ind w:firstLine="426"/>
        <w:rPr>
          <w:rFonts w:asciiTheme="majorBidi" w:hAnsiTheme="majorBidi" w:cstheme="majorBidi"/>
          <w:sz w:val="24"/>
        </w:rPr>
      </w:pPr>
    </w:p>
    <w:p w:rsidR="00FC6B78" w:rsidRPr="00A55220" w:rsidRDefault="00FC6B78" w:rsidP="00CC019A">
      <w:pPr>
        <w:autoSpaceDE w:val="0"/>
        <w:autoSpaceDN w:val="0"/>
        <w:spacing w:line="360" w:lineRule="auto"/>
        <w:ind w:firstLine="426"/>
        <w:rPr>
          <w:rFonts w:asciiTheme="majorBidi" w:hAnsiTheme="majorBidi" w:cstheme="majorBidi"/>
          <w:sz w:val="24"/>
        </w:rPr>
      </w:pPr>
    </w:p>
    <w:p w:rsidR="00CC019A" w:rsidRPr="00A55220" w:rsidRDefault="00CC019A" w:rsidP="00CC019A">
      <w:pPr>
        <w:autoSpaceDE w:val="0"/>
        <w:autoSpaceDN w:val="0"/>
        <w:spacing w:line="360" w:lineRule="auto"/>
        <w:ind w:firstLine="426"/>
        <w:rPr>
          <w:rFonts w:asciiTheme="majorBidi" w:hAnsiTheme="majorBidi" w:cstheme="majorBidi"/>
          <w:sz w:val="24"/>
        </w:rPr>
      </w:pPr>
    </w:p>
    <w:p w:rsidR="00CC019A" w:rsidRPr="00A55220" w:rsidRDefault="00CC019A" w:rsidP="00CC019A">
      <w:pPr>
        <w:autoSpaceDE w:val="0"/>
        <w:autoSpaceDN w:val="0"/>
        <w:spacing w:line="360" w:lineRule="auto"/>
        <w:ind w:firstLine="426"/>
        <w:rPr>
          <w:rFonts w:asciiTheme="majorBidi" w:hAnsiTheme="majorBidi" w:cstheme="majorBidi"/>
          <w:sz w:val="24"/>
        </w:rPr>
      </w:pPr>
    </w:p>
    <w:p w:rsidR="00CC019A" w:rsidRPr="00A55220" w:rsidRDefault="00CC019A" w:rsidP="00CC019A">
      <w:pPr>
        <w:autoSpaceDE w:val="0"/>
        <w:autoSpaceDN w:val="0"/>
        <w:spacing w:line="360" w:lineRule="auto"/>
        <w:ind w:firstLine="426"/>
        <w:rPr>
          <w:rFonts w:asciiTheme="majorBidi" w:hAnsiTheme="majorBidi" w:cstheme="majorBidi"/>
          <w:sz w:val="24"/>
        </w:rPr>
      </w:pPr>
    </w:p>
    <w:p w:rsidR="00CC019A" w:rsidRPr="00A55220" w:rsidRDefault="00CC019A" w:rsidP="00CC019A">
      <w:pPr>
        <w:autoSpaceDE w:val="0"/>
        <w:autoSpaceDN w:val="0"/>
        <w:spacing w:line="360" w:lineRule="auto"/>
        <w:ind w:firstLine="426"/>
        <w:rPr>
          <w:rFonts w:asciiTheme="majorBidi" w:hAnsiTheme="majorBidi" w:cstheme="majorBidi"/>
          <w:sz w:val="24"/>
        </w:rPr>
      </w:pPr>
    </w:p>
    <w:p w:rsidR="00CC019A" w:rsidRPr="00A55220" w:rsidRDefault="00BC7ADE" w:rsidP="00CC019A">
      <w:pPr>
        <w:autoSpaceDE w:val="0"/>
        <w:autoSpaceDN w:val="0"/>
        <w:spacing w:line="360" w:lineRule="auto"/>
        <w:ind w:firstLine="426"/>
        <w:rPr>
          <w:rFonts w:asciiTheme="majorBidi" w:hAnsiTheme="majorBidi" w:cstheme="majorBidi"/>
          <w:sz w:val="24"/>
        </w:rPr>
      </w:pPr>
      <w:bookmarkStart w:id="6" w:name="_GoBack"/>
      <w:bookmarkEnd w:id="6"/>
      <w:r>
        <w:rPr>
          <w:rFonts w:asciiTheme="majorBidi" w:hAnsiTheme="majorBidi" w:cstheme="majorBidi"/>
          <w:noProof/>
          <w:sz w:val="24"/>
          <w:lang w:eastAsia="en-US"/>
        </w:rPr>
        <w:pict>
          <v:shapetype id="_x0000_t202" coordsize="21600,21600" o:spt="202" path="m,l,21600r21600,l21600,xe">
            <v:stroke joinstyle="miter"/>
            <v:path gradientshapeok="t" o:connecttype="rect"/>
          </v:shapetype>
          <v:shape id="_x0000_s1034" type="#_x0000_t202" style="position:absolute;left:0;text-align:left;margin-left:253.7pt;margin-top:19.1pt;width:181.4pt;height:19.65pt;z-index:251666432;mso-width-percent:400;mso-width-percent:400;mso-width-relative:margin;mso-height-relative:margin" filled="f" stroked="f">
            <v:textbox>
              <w:txbxContent>
                <w:p w:rsidR="00CC019A" w:rsidRPr="00987C5E" w:rsidRDefault="00CC019A" w:rsidP="004C49EF">
                  <w:pPr>
                    <w:pStyle w:val="Lgende"/>
                    <w:jc w:val="left"/>
                    <w:rPr>
                      <w:b w:val="0"/>
                      <w:bCs w:val="0"/>
                    </w:rPr>
                  </w:pPr>
                  <w:r w:rsidRPr="00F804E9">
                    <w:rPr>
                      <w:rFonts w:ascii="Times New Roman" w:hAnsi="Times New Roman"/>
                    </w:rPr>
                    <w:t>Fig</w:t>
                  </w:r>
                  <w:r w:rsidR="004C49EF">
                    <w:rPr>
                      <w:rFonts w:ascii="Times New Roman" w:hAnsi="Times New Roman"/>
                    </w:rPr>
                    <w:t>.</w:t>
                  </w:r>
                  <w:r w:rsidR="00A55220">
                    <w:rPr>
                      <w:rFonts w:ascii="Times New Roman" w:hAnsi="Times New Roman"/>
                    </w:rPr>
                    <w:t xml:space="preserve"> </w:t>
                  </w:r>
                  <w:r w:rsidR="004C49EF">
                    <w:rPr>
                      <w:rFonts w:ascii="Times New Roman" w:hAnsi="Times New Roman"/>
                    </w:rPr>
                    <w:t>I</w:t>
                  </w:r>
                  <w:r>
                    <w:rPr>
                      <w:rFonts w:ascii="Times New Roman" w:hAnsi="Times New Roman"/>
                    </w:rPr>
                    <w:t>.</w:t>
                  </w:r>
                  <w:r w:rsidRPr="00F804E9">
                    <w:rPr>
                      <w:rFonts w:ascii="Times New Roman" w:hAnsi="Times New Roman"/>
                    </w:rPr>
                    <w:t>2.</w:t>
                  </w:r>
                  <w:r w:rsidRPr="00987C5E">
                    <w:rPr>
                      <w:rFonts w:ascii="Times New Roman" w:hAnsi="Times New Roman"/>
                      <w:b w:val="0"/>
                      <w:bCs w:val="0"/>
                    </w:rPr>
                    <w:t xml:space="preserve"> </w:t>
                  </w:r>
                  <w:r>
                    <w:rPr>
                      <w:b w:val="0"/>
                      <w:bCs w:val="0"/>
                    </w:rPr>
                    <w:t xml:space="preserve">Représentation sur un </w:t>
                  </w:r>
                  <w:r w:rsidRPr="00987C5E">
                    <w:rPr>
                      <w:b w:val="0"/>
                      <w:bCs w:val="0"/>
                    </w:rPr>
                    <w:t>plan</w:t>
                  </w:r>
                </w:p>
                <w:p w:rsidR="00CC019A" w:rsidRDefault="00CC019A" w:rsidP="00CC019A"/>
              </w:txbxContent>
            </v:textbox>
          </v:shape>
        </w:pict>
      </w:r>
      <w:r>
        <w:rPr>
          <w:rFonts w:asciiTheme="majorBidi" w:hAnsiTheme="majorBidi" w:cstheme="majorBidi"/>
          <w:noProof/>
          <w:sz w:val="24"/>
          <w:lang w:eastAsia="en-US"/>
        </w:rPr>
        <w:pict>
          <v:shape id="_x0000_s1033" type="#_x0000_t202" style="position:absolute;left:0;text-align:left;margin-left:28.05pt;margin-top:19.1pt;width:196.1pt;height:24.1pt;z-index:-251653120;mso-width-relative:margin;mso-height-relative:margin" wrapcoords="-162 -800 -162 20800 21762 20800 21762 -800 -162 -800" strokecolor="white [3212]">
            <v:textbox style="mso-next-textbox:#_x0000_s1033">
              <w:txbxContent>
                <w:p w:rsidR="00CC019A" w:rsidRPr="00987C5E" w:rsidRDefault="00CC019A" w:rsidP="004C49EF">
                  <w:pPr>
                    <w:pStyle w:val="Lgende"/>
                    <w:rPr>
                      <w:b w:val="0"/>
                      <w:bCs w:val="0"/>
                    </w:rPr>
                  </w:pPr>
                  <w:r>
                    <w:t xml:space="preserve">  Fig</w:t>
                  </w:r>
                  <w:r w:rsidR="004C49EF">
                    <w:t>.</w:t>
                  </w:r>
                  <w:r w:rsidR="00A55220">
                    <w:t xml:space="preserve"> </w:t>
                  </w:r>
                  <w:r w:rsidR="004C49EF">
                    <w:t>I</w:t>
                  </w:r>
                  <w:r w:rsidRPr="00F804E9">
                    <w:t>.</w:t>
                  </w:r>
                  <w:r>
                    <w:t xml:space="preserve">1. </w:t>
                  </w:r>
                  <w:r w:rsidRPr="00987C5E">
                    <w:rPr>
                      <w:b w:val="0"/>
                      <w:bCs w:val="0"/>
                    </w:rPr>
                    <w:t xml:space="preserve"> La structure </w:t>
                  </w:r>
                  <w:r>
                    <w:rPr>
                      <w:b w:val="0"/>
                      <w:bCs w:val="0"/>
                    </w:rPr>
                    <w:t>du d</w:t>
                  </w:r>
                  <w:r w:rsidRPr="00987C5E">
                    <w:rPr>
                      <w:b w:val="0"/>
                      <w:bCs w:val="0"/>
                    </w:rPr>
                    <w:t>iamant</w:t>
                  </w:r>
                </w:p>
              </w:txbxContent>
            </v:textbox>
            <w10:wrap type="tight"/>
          </v:shape>
        </w:pict>
      </w:r>
    </w:p>
    <w:p w:rsidR="00CC019A" w:rsidRPr="00A55220" w:rsidRDefault="00CC019A" w:rsidP="00CC019A">
      <w:pPr>
        <w:autoSpaceDE w:val="0"/>
        <w:autoSpaceDN w:val="0"/>
        <w:spacing w:line="360" w:lineRule="auto"/>
        <w:rPr>
          <w:rFonts w:asciiTheme="majorBidi" w:hAnsiTheme="majorBidi" w:cstheme="majorBidi"/>
          <w:sz w:val="24"/>
        </w:rPr>
      </w:pPr>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Chaque atome est lié à 4 voisins placés aux sommets d’un tétraèdre par une liaison covalente : Ces éléments sont  « tétravalents ».</w:t>
      </w:r>
    </w:p>
    <w:p w:rsidR="00CC019A" w:rsidRDefault="00CC019A" w:rsidP="00CC019A">
      <w:pPr>
        <w:autoSpaceDE w:val="0"/>
        <w:autoSpaceDN w:val="0"/>
        <w:spacing w:line="360" w:lineRule="auto"/>
        <w:ind w:firstLine="426"/>
        <w:rPr>
          <w:rFonts w:asciiTheme="majorBidi" w:hAnsiTheme="majorBidi" w:cstheme="majorBidi"/>
          <w:sz w:val="24"/>
        </w:rPr>
      </w:pPr>
    </w:p>
    <w:p w:rsidR="00A55220" w:rsidRPr="00A55220" w:rsidRDefault="00A55220" w:rsidP="00CC019A">
      <w:pPr>
        <w:autoSpaceDE w:val="0"/>
        <w:autoSpaceDN w:val="0"/>
        <w:spacing w:line="360" w:lineRule="auto"/>
        <w:ind w:firstLine="426"/>
        <w:rPr>
          <w:rFonts w:asciiTheme="majorBidi" w:hAnsiTheme="majorBidi" w:cstheme="majorBidi"/>
          <w:sz w:val="24"/>
        </w:rPr>
      </w:pPr>
    </w:p>
    <w:p w:rsidR="00CC019A" w:rsidRPr="00A55220" w:rsidRDefault="00CC019A" w:rsidP="004C49EF">
      <w:pPr>
        <w:autoSpaceDE w:val="0"/>
        <w:autoSpaceDN w:val="0"/>
        <w:spacing w:line="360" w:lineRule="auto"/>
        <w:jc w:val="left"/>
        <w:rPr>
          <w:rFonts w:asciiTheme="majorBidi" w:hAnsiTheme="majorBidi" w:cstheme="majorBidi"/>
          <w:noProof/>
          <w:sz w:val="24"/>
        </w:rPr>
      </w:pPr>
      <w:r w:rsidRPr="00A55220">
        <w:rPr>
          <w:rFonts w:asciiTheme="majorBidi" w:hAnsiTheme="majorBidi" w:cstheme="majorBidi"/>
          <w:sz w:val="24"/>
        </w:rPr>
        <w:lastRenderedPageBreak/>
        <w:t xml:space="preserve">La figure </w:t>
      </w:r>
      <w:r w:rsidR="004C49EF" w:rsidRPr="00A55220">
        <w:rPr>
          <w:rFonts w:asciiTheme="majorBidi" w:hAnsiTheme="majorBidi" w:cstheme="majorBidi"/>
          <w:sz w:val="24"/>
        </w:rPr>
        <w:t>I</w:t>
      </w:r>
      <w:r w:rsidRPr="00A55220">
        <w:rPr>
          <w:rFonts w:asciiTheme="majorBidi" w:hAnsiTheme="majorBidi" w:cstheme="majorBidi"/>
          <w:sz w:val="24"/>
        </w:rPr>
        <w:t>.2  correspond à une représentation sur un plan de la structure. Les traits présentent les électrons de valence.</w:t>
      </w:r>
      <w:r w:rsidRPr="00A55220">
        <w:rPr>
          <w:rFonts w:asciiTheme="majorBidi" w:hAnsiTheme="majorBidi" w:cstheme="majorBidi"/>
          <w:noProof/>
          <w:sz w:val="24"/>
        </w:rPr>
        <w:t xml:space="preserve"> </w:t>
      </w:r>
    </w:p>
    <w:p w:rsidR="00CC019A" w:rsidRPr="00A55220" w:rsidRDefault="00CC019A" w:rsidP="00CC019A">
      <w:pPr>
        <w:autoSpaceDE w:val="0"/>
        <w:autoSpaceDN w:val="0"/>
        <w:spacing w:line="360" w:lineRule="auto"/>
        <w:ind w:firstLine="425"/>
        <w:jc w:val="left"/>
        <w:rPr>
          <w:rFonts w:asciiTheme="majorBidi" w:hAnsiTheme="majorBidi" w:cstheme="majorBidi"/>
          <w:sz w:val="24"/>
        </w:rPr>
      </w:pPr>
      <w:r w:rsidRPr="00A55220">
        <w:rPr>
          <w:rFonts w:asciiTheme="majorBidi" w:hAnsiTheme="majorBidi" w:cstheme="majorBidi"/>
          <w:sz w:val="24"/>
        </w:rPr>
        <w:t xml:space="preserve">La théorie des bandes appliquée aux semi-conducteurs amène à considérer une bande de valence entièrement pleine qui est séparée d’une bande de conduction par une bande interdite distante de l’énergie ΔE. Si on apporte une énergie thermique ou lumineuse suffisante à un électron, il peut passer de la bande de valence à la bande de conduction avec une probabilité P proportionnelle à :          </w:t>
      </w:r>
    </w:p>
    <w:p w:rsidR="00CC019A" w:rsidRPr="00A55220" w:rsidRDefault="00CC019A" w:rsidP="004C49EF">
      <w:pPr>
        <w:autoSpaceDE w:val="0"/>
        <w:autoSpaceDN w:val="0"/>
        <w:spacing w:line="360" w:lineRule="auto"/>
        <w:ind w:firstLine="426"/>
        <w:jc w:val="right"/>
        <w:rPr>
          <w:rFonts w:asciiTheme="majorBidi" w:hAnsiTheme="majorBidi" w:cstheme="majorBidi"/>
          <w:sz w:val="24"/>
        </w:rPr>
      </w:pPr>
      <w:r w:rsidRPr="00A55220">
        <w:rPr>
          <w:rFonts w:asciiTheme="majorBidi" w:hAnsiTheme="majorBidi" w:cstheme="majorBidi"/>
          <w:sz w:val="24"/>
        </w:rPr>
        <w:t xml:space="preserve">                           P ≈ </w:t>
      </w:r>
      <w:proofErr w:type="spellStart"/>
      <w:r w:rsidRPr="00A55220">
        <w:rPr>
          <w:rFonts w:asciiTheme="majorBidi" w:hAnsiTheme="majorBidi" w:cstheme="majorBidi"/>
          <w:sz w:val="24"/>
        </w:rPr>
        <w:t>exp</w:t>
      </w:r>
      <w:proofErr w:type="spellEnd"/>
      <w:r w:rsidRPr="00A55220">
        <w:rPr>
          <w:rFonts w:asciiTheme="majorBidi" w:hAnsiTheme="majorBidi" w:cstheme="majorBidi"/>
          <w:sz w:val="24"/>
        </w:rPr>
        <w:t xml:space="preserve"> (–ΔE / kT)                                                                               (</w:t>
      </w:r>
      <w:r w:rsidR="004C49EF" w:rsidRPr="00A55220">
        <w:rPr>
          <w:rFonts w:asciiTheme="majorBidi" w:hAnsiTheme="majorBidi" w:cstheme="majorBidi"/>
          <w:sz w:val="24"/>
        </w:rPr>
        <w:t>I</w:t>
      </w:r>
      <w:r w:rsidRPr="00A55220">
        <w:rPr>
          <w:rFonts w:asciiTheme="majorBidi" w:hAnsiTheme="majorBidi" w:cstheme="majorBidi"/>
          <w:sz w:val="24"/>
        </w:rPr>
        <w:t>.1)</w:t>
      </w:r>
    </w:p>
    <w:p w:rsidR="00CC019A" w:rsidRPr="00A55220" w:rsidRDefault="00CC019A" w:rsidP="00CC019A">
      <w:pPr>
        <w:autoSpaceDE w:val="0"/>
        <w:autoSpaceDN w:val="0"/>
        <w:spacing w:line="360" w:lineRule="auto"/>
        <w:jc w:val="left"/>
        <w:rPr>
          <w:rFonts w:asciiTheme="majorBidi" w:hAnsiTheme="majorBidi" w:cstheme="majorBidi"/>
          <w:sz w:val="24"/>
        </w:rPr>
      </w:pPr>
      <w:r w:rsidRPr="00A55220">
        <w:rPr>
          <w:rFonts w:asciiTheme="majorBidi" w:hAnsiTheme="majorBidi" w:cstheme="majorBidi"/>
          <w:sz w:val="24"/>
        </w:rPr>
        <w:t>ΔE : Ecart en énergie séparant les deux bandes.</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T : Température absolue [K°].</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k = 1,38.</w:t>
      </w:r>
      <m:oMath>
        <m:sSup>
          <m:sSupPr>
            <m:ctrlPr>
              <w:rPr>
                <w:rFonts w:ascii="Cambria Math" w:eastAsiaTheme="minorEastAsia" w:hAnsiTheme="majorBidi" w:cstheme="majorBidi"/>
                <w:i/>
                <w:sz w:val="24"/>
              </w:rPr>
            </m:ctrlPr>
          </m:sSupPr>
          <m:e>
            <m:r>
              <w:rPr>
                <w:rFonts w:ascii="Cambria Math" w:eastAsiaTheme="minorEastAsia" w:hAnsiTheme="majorBidi" w:cstheme="majorBidi"/>
                <w:sz w:val="24"/>
              </w:rPr>
              <m:t>10</m:t>
            </m:r>
          </m:e>
          <m:sup>
            <m:r>
              <w:rPr>
                <w:rFonts w:asciiTheme="majorBidi" w:eastAsiaTheme="minorEastAsia" w:hAnsiTheme="majorBidi" w:cstheme="majorBidi"/>
                <w:sz w:val="24"/>
              </w:rPr>
              <m:t>-</m:t>
            </m:r>
            <m:r>
              <w:rPr>
                <w:rFonts w:ascii="Cambria Math" w:eastAsiaTheme="minorEastAsia" w:hAnsiTheme="majorBidi" w:cstheme="majorBidi"/>
                <w:sz w:val="24"/>
              </w:rPr>
              <m:t>23</m:t>
            </m:r>
          </m:sup>
        </m:sSup>
        <m:r>
          <w:rPr>
            <w:rFonts w:ascii="Cambria Math" w:eastAsiaTheme="minorEastAsia" w:hAnsiTheme="majorBidi" w:cstheme="majorBidi"/>
            <w:sz w:val="24"/>
          </w:rPr>
          <m:t xml:space="preserve"> </m:t>
        </m:r>
      </m:oMath>
      <w:r w:rsidRPr="00A55220">
        <w:rPr>
          <w:rFonts w:asciiTheme="majorBidi" w:hAnsiTheme="majorBidi" w:cstheme="majorBidi"/>
          <w:sz w:val="24"/>
        </w:rPr>
        <w:t xml:space="preserve"> </w:t>
      </w:r>
      <m:oMath>
        <m:r>
          <w:rPr>
            <w:rFonts w:ascii="Cambria Math" w:hAnsiTheme="majorBidi" w:cstheme="majorBidi"/>
            <w:sz w:val="24"/>
          </w:rPr>
          <m:t>[</m:t>
        </m:r>
        <m:sSup>
          <m:sSupPr>
            <m:ctrlPr>
              <w:rPr>
                <w:rFonts w:ascii="Cambria Math" w:eastAsiaTheme="minorEastAsia" w:hAnsiTheme="majorBidi" w:cstheme="majorBidi"/>
                <w:i/>
                <w:sz w:val="24"/>
              </w:rPr>
            </m:ctrlPr>
          </m:sSupPr>
          <m:e>
            <m:r>
              <w:rPr>
                <w:rFonts w:ascii="Cambria Math" w:eastAsiaTheme="minorEastAsia" w:hAnsi="Cambria Math" w:cstheme="majorBidi"/>
                <w:sz w:val="24"/>
              </w:rPr>
              <m:t>JK</m:t>
            </m:r>
          </m:e>
          <m:sup>
            <m:r>
              <w:rPr>
                <w:rFonts w:asciiTheme="majorBidi" w:eastAsiaTheme="minorEastAsia" w:hAnsiTheme="majorBidi" w:cstheme="majorBidi"/>
                <w:sz w:val="24"/>
              </w:rPr>
              <m:t>-</m:t>
            </m:r>
            <m:r>
              <w:rPr>
                <w:rFonts w:ascii="Cambria Math" w:eastAsiaTheme="minorEastAsia" w:hAnsiTheme="majorBidi" w:cstheme="majorBidi"/>
                <w:sz w:val="24"/>
              </w:rPr>
              <m:t>1</m:t>
            </m:r>
          </m:sup>
        </m:sSup>
        <m:r>
          <w:rPr>
            <w:rFonts w:ascii="Cambria Math" w:eastAsiaTheme="minorEastAsia" w:hAnsiTheme="majorBidi" w:cstheme="majorBidi"/>
            <w:sz w:val="24"/>
          </w:rPr>
          <m:t>]</m:t>
        </m:r>
      </m:oMath>
      <w:r w:rsidRPr="00A55220">
        <w:rPr>
          <w:rFonts w:asciiTheme="majorBidi" w:hAnsiTheme="majorBidi" w:cstheme="majorBidi"/>
          <w:sz w:val="24"/>
        </w:rPr>
        <w:t> : Constante de Boltzmann.</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 xml:space="preserve">Pour T = 300 K°, La grandeur  kT = 0,0025 eV </w:t>
      </w:r>
    </w:p>
    <w:p w:rsidR="00CC019A" w:rsidRPr="00A55220" w:rsidRDefault="00CC019A" w:rsidP="00CC019A">
      <w:pPr>
        <w:autoSpaceDE w:val="0"/>
        <w:autoSpaceDN w:val="0"/>
        <w:spacing w:line="360" w:lineRule="auto"/>
        <w:rPr>
          <w:rFonts w:asciiTheme="majorBidi" w:hAnsiTheme="majorBidi" w:cstheme="majorBidi"/>
          <w:sz w:val="24"/>
        </w:rPr>
      </w:pPr>
      <w:proofErr w:type="gramStart"/>
      <w:r w:rsidRPr="00A55220">
        <w:rPr>
          <w:rFonts w:asciiTheme="majorBidi" w:hAnsiTheme="majorBidi" w:cstheme="majorBidi"/>
          <w:sz w:val="24"/>
        </w:rPr>
        <w:t>eV</w:t>
      </w:r>
      <w:proofErr w:type="gramEnd"/>
      <w:r w:rsidRPr="00A55220">
        <w:rPr>
          <w:rFonts w:asciiTheme="majorBidi" w:hAnsiTheme="majorBidi" w:cstheme="majorBidi"/>
          <w:sz w:val="24"/>
        </w:rPr>
        <w:t xml:space="preserve"> : </w:t>
      </w:r>
      <w:proofErr w:type="spellStart"/>
      <w:r w:rsidRPr="00A55220">
        <w:rPr>
          <w:rFonts w:asciiTheme="majorBidi" w:hAnsiTheme="majorBidi" w:cstheme="majorBidi"/>
          <w:sz w:val="24"/>
        </w:rPr>
        <w:t>Electron-volt</w:t>
      </w:r>
      <w:proofErr w:type="spellEnd"/>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 xml:space="preserve">Quelques valeurs de base du gap </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 xml:space="preserve">Pour le diamant  ΔE = 7 eV ; Silicium ΔE = 1,12 eV ; </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Germanium   ΔE = 0,7 eV.</w:t>
      </w:r>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Dans un semi-conducteur, ΔE est assez faible pour autoriser, à température ambiante, le passage d’un petit nombre d’électrons de la bande de valence vers la bande de conduction.</w:t>
      </w:r>
    </w:p>
    <w:p w:rsidR="00CC019A" w:rsidRPr="00A55220" w:rsidRDefault="004C49EF" w:rsidP="00CC019A">
      <w:pPr>
        <w:pStyle w:val="Titre4"/>
        <w:spacing w:before="120"/>
        <w:rPr>
          <w:rFonts w:asciiTheme="majorBidi" w:hAnsiTheme="majorBidi" w:cstheme="majorBidi"/>
          <w:szCs w:val="24"/>
        </w:rPr>
      </w:pPr>
      <w:bookmarkStart w:id="7" w:name="_Toc418546447"/>
      <w:bookmarkStart w:id="8" w:name="_Toc418550254"/>
      <w:r w:rsidRPr="00A55220">
        <w:rPr>
          <w:rFonts w:asciiTheme="majorBidi" w:hAnsiTheme="majorBidi" w:cstheme="majorBidi"/>
          <w:szCs w:val="24"/>
        </w:rPr>
        <w:t xml:space="preserve">I.2.2. </w:t>
      </w:r>
      <w:r w:rsidR="00CC019A" w:rsidRPr="00A55220">
        <w:rPr>
          <w:rFonts w:asciiTheme="majorBidi" w:hAnsiTheme="majorBidi" w:cstheme="majorBidi"/>
          <w:szCs w:val="24"/>
        </w:rPr>
        <w:t>Semi-conducteurs dopés ou extrinsèques</w:t>
      </w:r>
      <w:bookmarkEnd w:id="7"/>
      <w:bookmarkEnd w:id="8"/>
    </w:p>
    <w:p w:rsidR="00CC019A" w:rsidRPr="00A55220" w:rsidRDefault="00CC019A" w:rsidP="00CC019A">
      <w:pPr>
        <w:autoSpaceDE w:val="0"/>
        <w:autoSpaceDN w:val="0"/>
        <w:spacing w:line="360" w:lineRule="auto"/>
        <w:ind w:firstLine="425"/>
        <w:rPr>
          <w:rFonts w:asciiTheme="majorBidi" w:hAnsiTheme="majorBidi" w:cstheme="majorBidi"/>
          <w:sz w:val="24"/>
        </w:rPr>
      </w:pPr>
      <w:r w:rsidRPr="00A55220">
        <w:rPr>
          <w:rFonts w:asciiTheme="majorBidi" w:hAnsiTheme="majorBidi" w:cstheme="majorBidi"/>
          <w:sz w:val="24"/>
        </w:rPr>
        <w:t xml:space="preserve">Dans un matériau pur, on introduit des impuretés par dopage. Pour que celui-ci soit contrôlable, il faut que le degré de pureté initial global soit supérieur au taux du dopage. Les taux de dopage utilisés sont de l’ordre de  </w:t>
      </w:r>
      <m:oMath>
        <m:sSup>
          <m:sSupPr>
            <m:ctrlPr>
              <w:rPr>
                <w:rFonts w:ascii="Cambria Math" w:eastAsiaTheme="minorEastAsia" w:hAnsiTheme="majorBidi" w:cstheme="majorBidi"/>
                <w:i/>
                <w:sz w:val="24"/>
              </w:rPr>
            </m:ctrlPr>
          </m:sSupPr>
          <m:e>
            <m:r>
              <w:rPr>
                <w:rFonts w:ascii="Cambria Math" w:eastAsiaTheme="minorEastAsia" w:hAnsiTheme="majorBidi" w:cstheme="majorBidi"/>
                <w:sz w:val="24"/>
              </w:rPr>
              <m:t>10</m:t>
            </m:r>
          </m:e>
          <m:sup>
            <m:r>
              <w:rPr>
                <w:rFonts w:asciiTheme="majorBidi" w:eastAsiaTheme="minorEastAsia" w:hAnsiTheme="majorBidi" w:cstheme="majorBidi"/>
                <w:sz w:val="24"/>
              </w:rPr>
              <m:t>-</m:t>
            </m:r>
            <m:r>
              <w:rPr>
                <w:rFonts w:ascii="Cambria Math" w:eastAsiaTheme="minorEastAsia" w:hAnsiTheme="majorBidi" w:cstheme="majorBidi"/>
                <w:sz w:val="24"/>
              </w:rPr>
              <m:t>8</m:t>
            </m:r>
          </m:sup>
        </m:sSup>
      </m:oMath>
      <w:r w:rsidRPr="00A55220">
        <w:rPr>
          <w:rFonts w:asciiTheme="majorBidi" w:hAnsiTheme="majorBidi" w:cstheme="majorBidi"/>
          <w:sz w:val="24"/>
        </w:rPr>
        <w:t xml:space="preserve"> à</w:t>
      </w:r>
      <m:oMath>
        <m:sSup>
          <m:sSupPr>
            <m:ctrlPr>
              <w:rPr>
                <w:rFonts w:ascii="Cambria Math" w:eastAsiaTheme="minorEastAsia" w:hAnsiTheme="majorBidi" w:cstheme="majorBidi"/>
                <w:i/>
                <w:sz w:val="24"/>
              </w:rPr>
            </m:ctrlPr>
          </m:sSupPr>
          <m:e>
            <m:r>
              <w:rPr>
                <w:rFonts w:ascii="Cambria Math" w:eastAsiaTheme="minorEastAsia" w:hAnsiTheme="majorBidi" w:cstheme="majorBidi"/>
                <w:sz w:val="24"/>
              </w:rPr>
              <m:t xml:space="preserve"> 10</m:t>
            </m:r>
          </m:e>
          <m:sup>
            <m:r>
              <w:rPr>
                <w:rFonts w:asciiTheme="majorBidi" w:eastAsiaTheme="minorEastAsia" w:hAnsiTheme="majorBidi" w:cstheme="majorBidi"/>
                <w:sz w:val="24"/>
              </w:rPr>
              <m:t>-</m:t>
            </m:r>
            <m:r>
              <w:rPr>
                <w:rFonts w:ascii="Cambria Math" w:eastAsiaTheme="minorEastAsia" w:hAnsiTheme="majorBidi" w:cstheme="majorBidi"/>
                <w:sz w:val="24"/>
              </w:rPr>
              <m:t>11</m:t>
            </m:r>
          </m:sup>
        </m:sSup>
      </m:oMath>
      <w:r w:rsidRPr="00A55220">
        <w:rPr>
          <w:rFonts w:asciiTheme="majorBidi" w:hAnsiTheme="majorBidi" w:cstheme="majorBidi"/>
          <w:sz w:val="24"/>
        </w:rPr>
        <w:t>. Une mole de silicium (28 g) correspond à 6,023.</w:t>
      </w:r>
      <m:oMath>
        <m:r>
          <w:rPr>
            <w:rFonts w:ascii="Cambria Math" w:eastAsiaTheme="minorEastAsia" w:hAnsiTheme="majorBidi" w:cstheme="majorBidi"/>
            <w:sz w:val="24"/>
          </w:rPr>
          <m:t xml:space="preserve"> </m:t>
        </m:r>
        <m:sSup>
          <m:sSupPr>
            <m:ctrlPr>
              <w:rPr>
                <w:rFonts w:ascii="Cambria Math" w:eastAsiaTheme="minorEastAsia" w:hAnsiTheme="majorBidi" w:cstheme="majorBidi"/>
                <w:i/>
                <w:sz w:val="24"/>
              </w:rPr>
            </m:ctrlPr>
          </m:sSupPr>
          <m:e>
            <m:r>
              <w:rPr>
                <w:rFonts w:ascii="Cambria Math" w:eastAsiaTheme="minorEastAsia" w:hAnsiTheme="majorBidi" w:cstheme="majorBidi"/>
                <w:sz w:val="24"/>
              </w:rPr>
              <m:t>10</m:t>
            </m:r>
          </m:e>
          <m:sup>
            <m:r>
              <w:rPr>
                <w:rFonts w:ascii="Cambria Math" w:eastAsiaTheme="minorEastAsia" w:hAnsiTheme="majorBidi" w:cstheme="majorBidi"/>
                <w:sz w:val="24"/>
              </w:rPr>
              <m:t>23</m:t>
            </m:r>
          </m:sup>
        </m:sSup>
      </m:oMath>
      <w:r w:rsidRPr="00A55220">
        <w:rPr>
          <w:rFonts w:asciiTheme="majorBidi" w:eastAsiaTheme="minorEastAsia" w:hAnsiTheme="majorBidi" w:cstheme="majorBidi"/>
          <w:sz w:val="24"/>
        </w:rPr>
        <w:t xml:space="preserve"> </w:t>
      </w:r>
      <w:r w:rsidRPr="00A55220">
        <w:rPr>
          <w:rFonts w:asciiTheme="majorBidi" w:hAnsiTheme="majorBidi" w:cstheme="majorBidi"/>
          <w:sz w:val="24"/>
        </w:rPr>
        <w:t>Atomes et la densité du silicium est voisine de 7 : 1 cm</w:t>
      </w:r>
      <w:r w:rsidRPr="00A55220">
        <w:rPr>
          <w:rFonts w:asciiTheme="majorBidi" w:hAnsiTheme="majorBidi" w:cstheme="majorBidi"/>
          <w:sz w:val="24"/>
          <w:vertAlign w:val="superscript"/>
        </w:rPr>
        <w:t xml:space="preserve">3 </w:t>
      </w:r>
      <w:r w:rsidRPr="00A55220">
        <w:rPr>
          <w:rFonts w:asciiTheme="majorBidi" w:hAnsiTheme="majorBidi" w:cstheme="majorBidi"/>
          <w:sz w:val="24"/>
        </w:rPr>
        <w:t>de silicium contient donc environ 1,5.</w:t>
      </w:r>
      <m:oMath>
        <m:r>
          <w:rPr>
            <w:rFonts w:ascii="Cambria Math" w:eastAsiaTheme="minorEastAsia" w:hAnsiTheme="majorBidi" w:cstheme="majorBidi"/>
            <w:sz w:val="24"/>
          </w:rPr>
          <m:t xml:space="preserve"> </m:t>
        </m:r>
        <m:sSup>
          <m:sSupPr>
            <m:ctrlPr>
              <w:rPr>
                <w:rFonts w:ascii="Cambria Math" w:eastAsiaTheme="minorEastAsia" w:hAnsiTheme="majorBidi" w:cstheme="majorBidi"/>
                <w:i/>
                <w:sz w:val="24"/>
              </w:rPr>
            </m:ctrlPr>
          </m:sSupPr>
          <m:e>
            <m:r>
              <w:rPr>
                <w:rFonts w:ascii="Cambria Math" w:eastAsiaTheme="minorEastAsia" w:hAnsiTheme="majorBidi" w:cstheme="majorBidi"/>
                <w:sz w:val="24"/>
              </w:rPr>
              <m:t>10</m:t>
            </m:r>
          </m:e>
          <m:sup>
            <m:r>
              <w:rPr>
                <w:rFonts w:ascii="Cambria Math" w:eastAsiaTheme="minorEastAsia" w:hAnsiTheme="majorBidi" w:cstheme="majorBidi"/>
                <w:sz w:val="24"/>
              </w:rPr>
              <m:t>23</m:t>
            </m:r>
          </m:sup>
        </m:sSup>
      </m:oMath>
      <w:r w:rsidRPr="00A55220">
        <w:rPr>
          <w:rFonts w:asciiTheme="majorBidi" w:eastAsiaTheme="minorEastAsia" w:hAnsiTheme="majorBidi" w:cstheme="majorBidi"/>
          <w:sz w:val="24"/>
        </w:rPr>
        <w:t xml:space="preserve"> </w:t>
      </w:r>
      <w:r w:rsidRPr="00A55220">
        <w:rPr>
          <w:rFonts w:asciiTheme="majorBidi" w:hAnsiTheme="majorBidi" w:cstheme="majorBidi"/>
          <w:sz w:val="24"/>
        </w:rPr>
        <w:t>Atomes. Avec un taux de dopage de l’ordre</w:t>
      </w:r>
      <m:oMath>
        <m:sSup>
          <m:sSupPr>
            <m:ctrlPr>
              <w:rPr>
                <w:rFonts w:ascii="Cambria Math" w:eastAsiaTheme="minorEastAsia" w:hAnsiTheme="majorBidi" w:cstheme="majorBidi"/>
                <w:i/>
                <w:sz w:val="24"/>
              </w:rPr>
            </m:ctrlPr>
          </m:sSupPr>
          <m:e>
            <m:r>
              <w:rPr>
                <w:rFonts w:ascii="Cambria Math" w:eastAsiaTheme="minorEastAsia" w:hAnsiTheme="majorBidi" w:cstheme="majorBidi"/>
                <w:sz w:val="24"/>
              </w:rPr>
              <m:t>10</m:t>
            </m:r>
          </m:e>
          <m:sup>
            <m:r>
              <w:rPr>
                <w:rFonts w:asciiTheme="majorBidi" w:eastAsiaTheme="minorEastAsia" w:hAnsiTheme="majorBidi" w:cstheme="majorBidi"/>
                <w:sz w:val="24"/>
              </w:rPr>
              <m:t>-</m:t>
            </m:r>
            <m:r>
              <w:rPr>
                <w:rFonts w:ascii="Cambria Math" w:eastAsiaTheme="minorEastAsia" w:hAnsiTheme="majorBidi" w:cstheme="majorBidi"/>
                <w:sz w:val="24"/>
              </w:rPr>
              <m:t>10</m:t>
            </m:r>
          </m:sup>
        </m:sSup>
      </m:oMath>
      <w:r w:rsidRPr="00A55220">
        <w:rPr>
          <w:rFonts w:asciiTheme="majorBidi" w:hAnsiTheme="majorBidi" w:cstheme="majorBidi"/>
          <w:sz w:val="24"/>
        </w:rPr>
        <w:t>, il y a environ 1,5.</w:t>
      </w:r>
      <m:oMath>
        <m:r>
          <w:rPr>
            <w:rFonts w:ascii="Cambria Math" w:eastAsiaTheme="minorEastAsia" w:hAnsiTheme="majorBidi" w:cstheme="majorBidi"/>
            <w:sz w:val="24"/>
          </w:rPr>
          <m:t xml:space="preserve"> </m:t>
        </m:r>
        <m:sSup>
          <m:sSupPr>
            <m:ctrlPr>
              <w:rPr>
                <w:rFonts w:ascii="Cambria Math" w:eastAsiaTheme="minorEastAsia" w:hAnsiTheme="majorBidi" w:cstheme="majorBidi"/>
                <w:i/>
                <w:sz w:val="24"/>
              </w:rPr>
            </m:ctrlPr>
          </m:sSupPr>
          <m:e>
            <m:r>
              <w:rPr>
                <w:rFonts w:ascii="Cambria Math" w:eastAsiaTheme="minorEastAsia" w:hAnsiTheme="majorBidi" w:cstheme="majorBidi"/>
                <w:sz w:val="24"/>
              </w:rPr>
              <m:t>10</m:t>
            </m:r>
          </m:e>
          <m:sup>
            <m:r>
              <w:rPr>
                <w:rFonts w:asciiTheme="majorBidi" w:eastAsiaTheme="minorEastAsia" w:hAnsiTheme="majorBidi" w:cstheme="majorBidi"/>
                <w:sz w:val="24"/>
              </w:rPr>
              <m:t>-</m:t>
            </m:r>
            <m:r>
              <w:rPr>
                <w:rFonts w:ascii="Cambria Math" w:eastAsiaTheme="minorEastAsia" w:hAnsiTheme="majorBidi" w:cstheme="majorBidi"/>
                <w:sz w:val="24"/>
              </w:rPr>
              <m:t>13</m:t>
            </m:r>
          </m:sup>
        </m:sSup>
      </m:oMath>
      <w:r w:rsidRPr="00A55220">
        <w:rPr>
          <w:rFonts w:asciiTheme="majorBidi" w:hAnsiTheme="majorBidi" w:cstheme="majorBidi"/>
          <w:sz w:val="24"/>
        </w:rPr>
        <w:t>Atomes d’impureté par cm</w:t>
      </w:r>
      <w:r w:rsidRPr="00A55220">
        <w:rPr>
          <w:rFonts w:asciiTheme="majorBidi" w:hAnsiTheme="majorBidi" w:cstheme="majorBidi"/>
          <w:sz w:val="24"/>
          <w:vertAlign w:val="superscript"/>
        </w:rPr>
        <w:t>3</w:t>
      </w:r>
      <w:r w:rsidRPr="00A55220">
        <w:rPr>
          <w:rFonts w:asciiTheme="majorBidi" w:hAnsiTheme="majorBidi" w:cstheme="majorBidi"/>
          <w:sz w:val="24"/>
        </w:rPr>
        <w:t xml:space="preserve"> [2].</w:t>
      </w:r>
    </w:p>
    <w:p w:rsidR="00CC019A" w:rsidRPr="00A55220" w:rsidRDefault="004C49EF" w:rsidP="00CC019A">
      <w:pPr>
        <w:pStyle w:val="Titre4"/>
        <w:spacing w:before="120"/>
        <w:rPr>
          <w:rFonts w:asciiTheme="majorBidi" w:hAnsiTheme="majorBidi" w:cstheme="majorBidi"/>
          <w:szCs w:val="24"/>
        </w:rPr>
      </w:pPr>
      <w:bookmarkStart w:id="9" w:name="_Toc418546448"/>
      <w:bookmarkStart w:id="10" w:name="_Toc418550255"/>
      <w:r w:rsidRPr="00A55220">
        <w:rPr>
          <w:rFonts w:asciiTheme="majorBidi" w:hAnsiTheme="majorBidi" w:cstheme="majorBidi"/>
          <w:szCs w:val="24"/>
        </w:rPr>
        <w:t xml:space="preserve">I.2.3. </w:t>
      </w:r>
      <w:r w:rsidR="00CC019A" w:rsidRPr="00A55220">
        <w:rPr>
          <w:rFonts w:asciiTheme="majorBidi" w:hAnsiTheme="majorBidi" w:cstheme="majorBidi"/>
          <w:szCs w:val="24"/>
        </w:rPr>
        <w:t>Dopage de type N</w:t>
      </w:r>
      <w:bookmarkEnd w:id="9"/>
      <w:bookmarkEnd w:id="10"/>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On introduit dans la matrice de silicium des atomes d’impuretés pentavalent</w:t>
      </w:r>
      <w:r w:rsidRPr="00A55220">
        <w:rPr>
          <w:rFonts w:asciiTheme="majorBidi" w:hAnsiTheme="majorBidi" w:cstheme="majorBidi"/>
          <w:i/>
          <w:iCs/>
          <w:sz w:val="24"/>
        </w:rPr>
        <w:t xml:space="preserve">s </w:t>
      </w:r>
      <w:r w:rsidRPr="00A55220">
        <w:rPr>
          <w:rFonts w:asciiTheme="majorBidi" w:hAnsiTheme="majorBidi" w:cstheme="majorBidi"/>
          <w:sz w:val="24"/>
        </w:rPr>
        <w:t>tels que le phosphore P, l’arsenic As et l’antimoine Sb.</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Chaque atome d’impureté amène un électron de valence supplémentaire. Cet électron est peu lié au noyau (E ≈ 0,01 eV) et passe aisément dans la bande de conduction. La conductivité du matériau (conductivité extrinsèque) devient à cause du taux de dopage, très supérieure à celle du matériau pur. Les atomes pentavalents ou donneurs</w:t>
      </w:r>
      <w:r w:rsidRPr="00A55220">
        <w:rPr>
          <w:rFonts w:asciiTheme="majorBidi" w:hAnsiTheme="majorBidi" w:cstheme="majorBidi"/>
          <w:i/>
          <w:iCs/>
          <w:sz w:val="24"/>
        </w:rPr>
        <w:t xml:space="preserve"> </w:t>
      </w:r>
      <w:r w:rsidRPr="00A55220">
        <w:rPr>
          <w:rFonts w:asciiTheme="majorBidi" w:hAnsiTheme="majorBidi" w:cstheme="majorBidi"/>
          <w:sz w:val="24"/>
        </w:rPr>
        <w:t xml:space="preserve">deviennent des ions positifs après le </w:t>
      </w:r>
      <w:r w:rsidRPr="00A55220">
        <w:rPr>
          <w:rFonts w:asciiTheme="majorBidi" w:hAnsiTheme="majorBidi" w:cstheme="majorBidi"/>
          <w:sz w:val="24"/>
        </w:rPr>
        <w:lastRenderedPageBreak/>
        <w:t>passage des électrons excédentaires dans la bande de conduction.</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Les données numériques précédentes montrent que le nombre des électrons dans le matériau, fonction du taux de dopage, est supérieur au nombre des trous, fonction de la température, d’un facteur supérieur à</w:t>
      </w:r>
      <m:oMath>
        <m:r>
          <w:rPr>
            <w:rFonts w:ascii="Cambria Math" w:hAnsiTheme="majorBidi" w:cstheme="majorBidi"/>
            <w:sz w:val="24"/>
          </w:rPr>
          <m:t xml:space="preserve"> </m:t>
        </m:r>
        <m:sSup>
          <m:sSupPr>
            <m:ctrlPr>
              <w:rPr>
                <w:rFonts w:ascii="Cambria Math" w:eastAsiaTheme="minorEastAsia" w:hAnsiTheme="majorBidi" w:cstheme="majorBidi"/>
                <w:i/>
                <w:sz w:val="24"/>
              </w:rPr>
            </m:ctrlPr>
          </m:sSupPr>
          <m:e>
            <m:r>
              <w:rPr>
                <w:rFonts w:ascii="Cambria Math" w:eastAsiaTheme="minorEastAsia" w:hAnsiTheme="majorBidi" w:cstheme="majorBidi"/>
                <w:sz w:val="24"/>
              </w:rPr>
              <m:t>10</m:t>
            </m:r>
          </m:e>
          <m:sup>
            <m:r>
              <w:rPr>
                <w:rFonts w:ascii="Cambria Math" w:eastAsiaTheme="minorEastAsia" w:hAnsiTheme="majorBidi" w:cstheme="majorBidi"/>
                <w:sz w:val="24"/>
              </w:rPr>
              <m:t>3</m:t>
            </m:r>
          </m:sup>
        </m:sSup>
      </m:oMath>
      <w:r w:rsidRPr="00A55220">
        <w:rPr>
          <w:rFonts w:asciiTheme="majorBidi" w:hAnsiTheme="majorBidi" w:cstheme="majorBidi"/>
          <w:sz w:val="24"/>
        </w:rPr>
        <w:t>. La conduction dite de type</w:t>
      </w:r>
      <w:r w:rsidRPr="00A55220">
        <w:rPr>
          <w:rFonts w:asciiTheme="majorBidi" w:hAnsiTheme="majorBidi" w:cstheme="majorBidi"/>
          <w:b/>
          <w:bCs/>
          <w:sz w:val="24"/>
        </w:rPr>
        <w:t xml:space="preserve"> </w:t>
      </w:r>
      <w:r w:rsidRPr="00A55220">
        <w:rPr>
          <w:rFonts w:asciiTheme="majorBidi" w:hAnsiTheme="majorBidi" w:cstheme="majorBidi"/>
          <w:sz w:val="24"/>
        </w:rPr>
        <w:t xml:space="preserve">N (négative) est assurée par des électrons. </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Les électrons sont les porteurs majoritaires [3].</w:t>
      </w:r>
    </w:p>
    <w:p w:rsidR="00CC019A" w:rsidRPr="00A55220" w:rsidRDefault="004C49EF" w:rsidP="00CC019A">
      <w:pPr>
        <w:pStyle w:val="Titre4"/>
        <w:spacing w:before="120"/>
        <w:rPr>
          <w:rFonts w:asciiTheme="majorBidi" w:hAnsiTheme="majorBidi" w:cstheme="majorBidi"/>
          <w:szCs w:val="24"/>
        </w:rPr>
      </w:pPr>
      <w:bookmarkStart w:id="11" w:name="_Toc418546449"/>
      <w:bookmarkStart w:id="12" w:name="_Toc418550256"/>
      <w:r w:rsidRPr="00A55220">
        <w:rPr>
          <w:rFonts w:asciiTheme="majorBidi" w:hAnsiTheme="majorBidi" w:cstheme="majorBidi"/>
          <w:szCs w:val="24"/>
        </w:rPr>
        <w:t xml:space="preserve">I.2.4. </w:t>
      </w:r>
      <w:r w:rsidR="00CC019A" w:rsidRPr="00A55220">
        <w:rPr>
          <w:rFonts w:asciiTheme="majorBidi" w:hAnsiTheme="majorBidi" w:cstheme="majorBidi"/>
          <w:szCs w:val="24"/>
        </w:rPr>
        <w:t>Dopage de type P</w:t>
      </w:r>
      <w:bookmarkEnd w:id="11"/>
      <w:bookmarkEnd w:id="12"/>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On introduit dans le réseau une impureté </w:t>
      </w:r>
      <w:r w:rsidRPr="00A55220">
        <w:rPr>
          <w:rFonts w:asciiTheme="majorBidi" w:hAnsiTheme="majorBidi" w:cstheme="majorBidi"/>
          <w:i/>
          <w:iCs/>
          <w:sz w:val="24"/>
        </w:rPr>
        <w:t xml:space="preserve">trivalente </w:t>
      </w:r>
      <w:r w:rsidRPr="00A55220">
        <w:rPr>
          <w:rFonts w:asciiTheme="majorBidi" w:hAnsiTheme="majorBidi" w:cstheme="majorBidi"/>
          <w:sz w:val="24"/>
        </w:rPr>
        <w:t>: bore B, aluminium Al, gallium Ga, indium In. Il manque à l’impureté un électron de valence pour assurer les 4 liaisons avec les atomes de silicium voisins. Un faible apport d’énergie (≈ 0,05 eV) suffit pour qu’un électron d’un silicium voisin soit capté par l’impureté : il y a formation d’un trou peu lié et donc mobile. Les atomes trivalents (accepteurs) deviennent des ions négatifs par capture d’un électron. Compte tenu des taux de dopage, ces trous sont beaucoup plus nombreux que les porteurs intrinsèques du cristal pur. La conduction de type P</w:t>
      </w:r>
      <w:r w:rsidRPr="00A55220">
        <w:rPr>
          <w:rFonts w:asciiTheme="majorBidi" w:hAnsiTheme="majorBidi" w:cstheme="majorBidi"/>
          <w:b/>
          <w:bCs/>
          <w:sz w:val="24"/>
        </w:rPr>
        <w:t xml:space="preserve"> </w:t>
      </w:r>
      <w:r w:rsidRPr="00A55220">
        <w:rPr>
          <w:rFonts w:asciiTheme="majorBidi" w:hAnsiTheme="majorBidi" w:cstheme="majorBidi"/>
          <w:sz w:val="24"/>
        </w:rPr>
        <w:t>(positive) est assurée par des trous. Les trous sont les porteurs majoritaires [3].</w:t>
      </w:r>
    </w:p>
    <w:p w:rsidR="00CC019A" w:rsidRPr="00A55220" w:rsidRDefault="004C49EF" w:rsidP="00CC019A">
      <w:pPr>
        <w:pStyle w:val="Titre3"/>
        <w:spacing w:before="120"/>
        <w:rPr>
          <w:rFonts w:asciiTheme="majorBidi" w:hAnsiTheme="majorBidi" w:cstheme="majorBidi"/>
          <w:sz w:val="28"/>
          <w:szCs w:val="28"/>
        </w:rPr>
      </w:pPr>
      <w:bookmarkStart w:id="13" w:name="_Toc418546450"/>
      <w:bookmarkStart w:id="14" w:name="_Toc418550257"/>
      <w:r w:rsidRPr="00A55220">
        <w:rPr>
          <w:rFonts w:asciiTheme="majorBidi" w:hAnsiTheme="majorBidi" w:cstheme="majorBidi"/>
          <w:sz w:val="28"/>
          <w:szCs w:val="28"/>
        </w:rPr>
        <w:t xml:space="preserve">I.3. </w:t>
      </w:r>
      <w:r w:rsidR="00CC019A" w:rsidRPr="00A55220">
        <w:rPr>
          <w:rFonts w:asciiTheme="majorBidi" w:hAnsiTheme="majorBidi" w:cstheme="majorBidi"/>
          <w:sz w:val="28"/>
          <w:szCs w:val="28"/>
        </w:rPr>
        <w:t>La jonction P-N [1</w:t>
      </w:r>
      <w:proofErr w:type="gramStart"/>
      <w:r w:rsidR="00CC019A" w:rsidRPr="00A55220">
        <w:rPr>
          <w:rFonts w:asciiTheme="majorBidi" w:hAnsiTheme="majorBidi" w:cstheme="majorBidi"/>
          <w:sz w:val="28"/>
          <w:szCs w:val="28"/>
        </w:rPr>
        <w:t>][</w:t>
      </w:r>
      <w:proofErr w:type="gramEnd"/>
      <w:r w:rsidR="00CC019A" w:rsidRPr="00A55220">
        <w:rPr>
          <w:rFonts w:asciiTheme="majorBidi" w:hAnsiTheme="majorBidi" w:cstheme="majorBidi"/>
          <w:sz w:val="28"/>
          <w:szCs w:val="28"/>
        </w:rPr>
        <w:t>2]</w:t>
      </w:r>
      <w:bookmarkEnd w:id="13"/>
      <w:bookmarkEnd w:id="14"/>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Une</w:t>
      </w:r>
      <w:r w:rsidRPr="00A55220">
        <w:rPr>
          <w:rStyle w:val="apple-converted-space"/>
          <w:rFonts w:asciiTheme="majorBidi" w:hAnsiTheme="majorBidi" w:cstheme="majorBidi"/>
          <w:sz w:val="24"/>
        </w:rPr>
        <w:t> </w:t>
      </w:r>
      <w:r w:rsidRPr="00A55220">
        <w:rPr>
          <w:rFonts w:asciiTheme="majorBidi" w:hAnsiTheme="majorBidi" w:cstheme="majorBidi"/>
          <w:sz w:val="24"/>
        </w:rPr>
        <w:t>jonction P-N</w:t>
      </w:r>
      <w:r w:rsidRPr="00A55220">
        <w:rPr>
          <w:rStyle w:val="apple-converted-space"/>
          <w:rFonts w:asciiTheme="majorBidi" w:hAnsiTheme="majorBidi" w:cstheme="majorBidi"/>
          <w:sz w:val="24"/>
        </w:rPr>
        <w:t> </w:t>
      </w:r>
      <w:r w:rsidRPr="00A55220">
        <w:rPr>
          <w:rFonts w:asciiTheme="majorBidi" w:hAnsiTheme="majorBidi" w:cstheme="majorBidi"/>
          <w:sz w:val="24"/>
        </w:rPr>
        <w:t>est créé par la mise en contact d'un semi-conducteur dopé N et d'un semi-conducteur dopé P. La jonction entraîne l'égalisation des</w:t>
      </w:r>
      <w:r w:rsidRPr="00A55220">
        <w:rPr>
          <w:rStyle w:val="apple-converted-space"/>
          <w:rFonts w:asciiTheme="majorBidi" w:hAnsiTheme="majorBidi" w:cstheme="majorBidi"/>
          <w:sz w:val="24"/>
        </w:rPr>
        <w:t> </w:t>
      </w:r>
      <w:hyperlink r:id="rId14" w:tooltip="Niveau de Fermi" w:history="1">
        <w:r w:rsidRPr="00A55220">
          <w:rPr>
            <w:rStyle w:val="Lienhypertexte"/>
            <w:rFonts w:asciiTheme="majorBidi" w:hAnsiTheme="majorBidi" w:cstheme="majorBidi"/>
            <w:color w:val="auto"/>
            <w:sz w:val="24"/>
            <w:u w:val="none"/>
          </w:rPr>
          <w:t>niveaux de Fermi</w:t>
        </w:r>
      </w:hyperlink>
      <w:r w:rsidRPr="00A55220">
        <w:rPr>
          <w:rStyle w:val="apple-converted-space"/>
          <w:rFonts w:asciiTheme="majorBidi" w:hAnsiTheme="majorBidi" w:cstheme="majorBidi"/>
          <w:sz w:val="24"/>
        </w:rPr>
        <w:t> </w:t>
      </w:r>
      <w:r w:rsidRPr="00A55220">
        <w:rPr>
          <w:rFonts w:asciiTheme="majorBidi" w:hAnsiTheme="majorBidi" w:cstheme="majorBidi"/>
          <w:sz w:val="24"/>
        </w:rPr>
        <w:t>par décalage des bandes. Si l'on applique une tension positive du côté de la région P, les porteurs majoritaires positifs (les trous) sont repoussés vers la jonction. Dans le même temps, les porteurs majoritaires négatifs du côté N (les électrons) sont attirés vers la jonction. Arrivés à la jonction, soit les porteurs se recombinent (un électron tombe dans un trou) en émettant un photon éventuellement visible (LED), soit ces porteurs continuent leur course au travers de l'autre semi-conducteur jusqu'à atteindre l'électrode opposée : le courant circule, son intensité varie en exponentielle de la tension. Si la différence de potentiel est inversée, les porteurs majoritaires des deux côtés s'éloignent de la jonction, bloquant ainsi le passage du courant à son niveau. Ce comportement asymétrique est utilisé notamment pour redresser le</w:t>
      </w:r>
      <w:r w:rsidRPr="00A55220">
        <w:rPr>
          <w:rStyle w:val="apple-converted-space"/>
          <w:rFonts w:asciiTheme="majorBidi" w:hAnsiTheme="majorBidi" w:cstheme="majorBidi"/>
          <w:sz w:val="24"/>
        </w:rPr>
        <w:t> </w:t>
      </w:r>
      <w:hyperlink r:id="rId15" w:tooltip="Courant alternatif" w:history="1">
        <w:r w:rsidRPr="00A55220">
          <w:rPr>
            <w:rStyle w:val="Lienhypertexte"/>
            <w:rFonts w:asciiTheme="majorBidi" w:hAnsiTheme="majorBidi" w:cstheme="majorBidi"/>
            <w:color w:val="auto"/>
            <w:sz w:val="24"/>
            <w:u w:val="none"/>
          </w:rPr>
          <w:t>courant alternatif</w:t>
        </w:r>
      </w:hyperlink>
      <w:r w:rsidRPr="00A55220">
        <w:rPr>
          <w:rFonts w:asciiTheme="majorBidi" w:hAnsiTheme="majorBidi" w:cstheme="majorBidi"/>
          <w:sz w:val="24"/>
        </w:rPr>
        <w:t>.</w:t>
      </w:r>
    </w:p>
    <w:p w:rsidR="00CC019A" w:rsidRPr="00A55220" w:rsidRDefault="00CC019A" w:rsidP="00CC019A">
      <w:pPr>
        <w:pStyle w:val="NormalWeb"/>
        <w:shd w:val="clear" w:color="auto" w:fill="FFFFFF"/>
        <w:spacing w:before="120" w:beforeAutospacing="0" w:after="120" w:afterAutospacing="0" w:line="360" w:lineRule="auto"/>
        <w:ind w:firstLine="426"/>
        <w:jc w:val="both"/>
        <w:rPr>
          <w:rFonts w:asciiTheme="majorBidi" w:hAnsiTheme="majorBidi" w:cstheme="majorBidi"/>
        </w:rPr>
      </w:pPr>
      <w:r w:rsidRPr="00A55220">
        <w:rPr>
          <w:rFonts w:asciiTheme="majorBidi" w:hAnsiTheme="majorBidi" w:cstheme="majorBidi"/>
        </w:rPr>
        <w:t>La jonction P-N est à la base du composant électronique nommé</w:t>
      </w:r>
      <w:r w:rsidRPr="00A55220">
        <w:rPr>
          <w:rStyle w:val="apple-converted-space"/>
          <w:rFonts w:asciiTheme="majorBidi" w:hAnsiTheme="majorBidi" w:cstheme="majorBidi"/>
        </w:rPr>
        <w:t> </w:t>
      </w:r>
      <w:hyperlink r:id="rId16" w:tooltip="Diode" w:history="1">
        <w:r w:rsidRPr="00A55220">
          <w:rPr>
            <w:rStyle w:val="Lienhypertexte"/>
            <w:rFonts w:asciiTheme="majorBidi" w:hAnsiTheme="majorBidi" w:cstheme="majorBidi"/>
            <w:color w:val="auto"/>
            <w:u w:val="none"/>
          </w:rPr>
          <w:t>diode</w:t>
        </w:r>
      </w:hyperlink>
      <w:r w:rsidRPr="00A55220">
        <w:rPr>
          <w:rFonts w:asciiTheme="majorBidi" w:hAnsiTheme="majorBidi" w:cstheme="majorBidi"/>
        </w:rPr>
        <w:t>, qui ne permet le passage du courant électrique que dans un seul sens. De manière similaire, une troisième région peut être dopée pour former des doubles jonctions N-P-N ou P-N-P qui forment les</w:t>
      </w:r>
      <w:r w:rsidRPr="00A55220">
        <w:rPr>
          <w:rStyle w:val="apple-converted-space"/>
          <w:rFonts w:asciiTheme="majorBidi" w:hAnsiTheme="majorBidi" w:cstheme="majorBidi"/>
        </w:rPr>
        <w:t> </w:t>
      </w:r>
      <w:hyperlink r:id="rId17" w:tooltip="Transistor bipolaire" w:history="1">
        <w:r w:rsidRPr="00A55220">
          <w:rPr>
            <w:rStyle w:val="Lienhypertexte"/>
            <w:rFonts w:asciiTheme="majorBidi" w:hAnsiTheme="majorBidi" w:cstheme="majorBidi"/>
            <w:color w:val="auto"/>
            <w:u w:val="none"/>
          </w:rPr>
          <w:t>transistors bipolaires</w:t>
        </w:r>
      </w:hyperlink>
      <w:r w:rsidRPr="00A55220">
        <w:rPr>
          <w:rFonts w:asciiTheme="majorBidi" w:hAnsiTheme="majorBidi" w:cstheme="majorBidi"/>
        </w:rPr>
        <w:t xml:space="preserve">. Dans ce cas-là, les deux semi-conducteurs de même type sont </w:t>
      </w:r>
      <w:r w:rsidRPr="00A55220">
        <w:rPr>
          <w:rFonts w:asciiTheme="majorBidi" w:hAnsiTheme="majorBidi" w:cstheme="majorBidi"/>
        </w:rPr>
        <w:lastRenderedPageBreak/>
        <w:t>appelés l'émetteur</w:t>
      </w:r>
      <w:r w:rsidRPr="00A55220">
        <w:rPr>
          <w:rStyle w:val="apple-converted-space"/>
          <w:rFonts w:asciiTheme="majorBidi" w:hAnsiTheme="majorBidi" w:cstheme="majorBidi"/>
        </w:rPr>
        <w:t> </w:t>
      </w:r>
      <w:r w:rsidRPr="00A55220">
        <w:rPr>
          <w:rFonts w:asciiTheme="majorBidi" w:hAnsiTheme="majorBidi" w:cstheme="majorBidi"/>
        </w:rPr>
        <w:t>et le</w:t>
      </w:r>
      <w:r w:rsidRPr="00A55220">
        <w:rPr>
          <w:rStyle w:val="apple-converted-space"/>
          <w:rFonts w:asciiTheme="majorBidi" w:hAnsiTheme="majorBidi" w:cstheme="majorBidi"/>
        </w:rPr>
        <w:t> </w:t>
      </w:r>
      <w:r w:rsidRPr="00A55220">
        <w:rPr>
          <w:rFonts w:asciiTheme="majorBidi" w:hAnsiTheme="majorBidi" w:cstheme="majorBidi"/>
        </w:rPr>
        <w:t>collecteur. Le semi-conducteur situé entre l'émetteur et le collecteur est appelé la</w:t>
      </w:r>
      <w:r w:rsidRPr="00A55220">
        <w:rPr>
          <w:rStyle w:val="apple-converted-space"/>
          <w:rFonts w:asciiTheme="majorBidi" w:hAnsiTheme="majorBidi" w:cstheme="majorBidi"/>
        </w:rPr>
        <w:t> </w:t>
      </w:r>
      <w:r w:rsidRPr="00A55220">
        <w:rPr>
          <w:rFonts w:asciiTheme="majorBidi" w:hAnsiTheme="majorBidi" w:cstheme="majorBidi"/>
        </w:rPr>
        <w:t>base, et a une épaisseur de l'ordre du micromètre. Lorsqu'on polarise la jonction émetteur-base en direct, celle-ci est passante alors que la jonction base-collecteur est bloquée. Cependant la base est assez fine pour permettre aux nombreux porteurs majoritaires injectés depuis l'émetteur (fortement dopé) de la traverser avant d'avoir le temps de se recombiner. Ils se retrouvent ainsi dans le collecteur, produisant un courant contrôlé par ce courant de base.</w:t>
      </w:r>
    </w:p>
    <w:p w:rsidR="00CC019A" w:rsidRPr="00A55220" w:rsidRDefault="004C49EF" w:rsidP="00CC019A">
      <w:pPr>
        <w:pStyle w:val="Titre3"/>
        <w:spacing w:before="120"/>
        <w:rPr>
          <w:rFonts w:asciiTheme="majorBidi" w:hAnsiTheme="majorBidi" w:cstheme="majorBidi"/>
          <w:sz w:val="28"/>
          <w:szCs w:val="28"/>
        </w:rPr>
      </w:pPr>
      <w:bookmarkStart w:id="15" w:name="_Toc418546451"/>
      <w:bookmarkStart w:id="16" w:name="_Toc418550258"/>
      <w:r w:rsidRPr="00A55220">
        <w:rPr>
          <w:rFonts w:asciiTheme="majorBidi" w:hAnsiTheme="majorBidi" w:cstheme="majorBidi"/>
          <w:sz w:val="28"/>
          <w:szCs w:val="28"/>
        </w:rPr>
        <w:t xml:space="preserve">I.4. </w:t>
      </w:r>
      <w:r w:rsidR="00CC019A" w:rsidRPr="00A55220">
        <w:rPr>
          <w:rFonts w:asciiTheme="majorBidi" w:hAnsiTheme="majorBidi" w:cstheme="majorBidi"/>
          <w:sz w:val="28"/>
          <w:szCs w:val="28"/>
        </w:rPr>
        <w:t>Le transistor bipolaire</w:t>
      </w:r>
      <w:bookmarkEnd w:id="15"/>
      <w:bookmarkEnd w:id="16"/>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Historiquement, le transistor bipolaire est le premier composant actif à semi-conducteur. Il a été inventé par Bardeen et Brattain en 1948. La théorie a été élaborée par </w:t>
      </w:r>
      <w:proofErr w:type="spellStart"/>
      <w:r w:rsidRPr="00A55220">
        <w:rPr>
          <w:rFonts w:asciiTheme="majorBidi" w:hAnsiTheme="majorBidi" w:cstheme="majorBidi"/>
          <w:sz w:val="24"/>
        </w:rPr>
        <w:t>Schokley</w:t>
      </w:r>
      <w:proofErr w:type="spellEnd"/>
      <w:r w:rsidRPr="00A55220">
        <w:rPr>
          <w:rFonts w:asciiTheme="majorBidi" w:hAnsiTheme="majorBidi" w:cstheme="majorBidi"/>
          <w:sz w:val="24"/>
        </w:rPr>
        <w:t xml:space="preserve"> en 1949 et le premier transistor a vu le jour en 1951.</w:t>
      </w:r>
    </w:p>
    <w:p w:rsidR="00CC019A" w:rsidRPr="00A55220" w:rsidRDefault="004C49EF" w:rsidP="00CC019A">
      <w:pPr>
        <w:pStyle w:val="Titre4"/>
        <w:spacing w:before="120"/>
        <w:rPr>
          <w:rFonts w:asciiTheme="majorBidi" w:hAnsiTheme="majorBidi" w:cstheme="majorBidi"/>
          <w:szCs w:val="24"/>
        </w:rPr>
      </w:pPr>
      <w:bookmarkStart w:id="17" w:name="_Toc418546452"/>
      <w:bookmarkStart w:id="18" w:name="_Toc418550259"/>
      <w:r w:rsidRPr="00A55220">
        <w:rPr>
          <w:rFonts w:asciiTheme="majorBidi" w:hAnsiTheme="majorBidi" w:cstheme="majorBidi"/>
          <w:szCs w:val="24"/>
        </w:rPr>
        <w:t xml:space="preserve">I.4.1. </w:t>
      </w:r>
      <w:r w:rsidR="00CC019A" w:rsidRPr="00A55220">
        <w:rPr>
          <w:rFonts w:asciiTheme="majorBidi" w:hAnsiTheme="majorBidi" w:cstheme="majorBidi"/>
          <w:szCs w:val="24"/>
        </w:rPr>
        <w:t>Structure et description</w:t>
      </w:r>
      <w:bookmarkEnd w:id="17"/>
      <w:bookmarkEnd w:id="18"/>
      <w:r w:rsidR="00CC019A" w:rsidRPr="00A55220">
        <w:rPr>
          <w:rFonts w:asciiTheme="majorBidi" w:hAnsiTheme="majorBidi" w:cstheme="majorBidi"/>
          <w:szCs w:val="24"/>
        </w:rPr>
        <w:t xml:space="preserve"> </w:t>
      </w:r>
    </w:p>
    <w:p w:rsidR="00CC019A" w:rsidRPr="00A55220" w:rsidRDefault="00CC019A" w:rsidP="004C49EF">
      <w:pPr>
        <w:autoSpaceDE w:val="0"/>
        <w:autoSpaceDN w:val="0"/>
        <w:spacing w:line="360" w:lineRule="auto"/>
        <w:ind w:firstLine="426"/>
        <w:rPr>
          <w:rFonts w:asciiTheme="majorBidi" w:hAnsiTheme="majorBidi" w:cstheme="majorBidi"/>
          <w:sz w:val="24"/>
          <w:shd w:val="clear" w:color="auto" w:fill="FFFFFF"/>
        </w:rPr>
      </w:pPr>
      <w:r w:rsidRPr="00A55220">
        <w:rPr>
          <w:rFonts w:asciiTheme="majorBidi" w:hAnsiTheme="majorBidi" w:cstheme="majorBidi"/>
          <w:sz w:val="24"/>
        </w:rPr>
        <w:t xml:space="preserve">Un transistor bipolaire est un élément semi-conducteur constitué de deux jonctions PN tête-bêche présentant une région commune appelée base. Le collecteur et l'émetteur sont respectivement les deux régions restantes. Il peut y avoir deux types de transistors suivant que la région centrale est de type N ou P. Par exemple, la figure </w:t>
      </w:r>
      <w:r w:rsidR="004C49EF" w:rsidRPr="00A55220">
        <w:rPr>
          <w:rFonts w:asciiTheme="majorBidi" w:hAnsiTheme="majorBidi" w:cstheme="majorBidi"/>
          <w:sz w:val="24"/>
        </w:rPr>
        <w:t>I</w:t>
      </w:r>
      <w:r w:rsidRPr="00A55220">
        <w:rPr>
          <w:rFonts w:asciiTheme="majorBidi" w:hAnsiTheme="majorBidi" w:cstheme="majorBidi"/>
          <w:sz w:val="24"/>
        </w:rPr>
        <w:t>.3 présente une structure NPN polarisée dans son mode de fonctionnement dit « normal » ainsi que sa représentation schématique</w:t>
      </w:r>
      <w:r w:rsidRPr="00A55220">
        <w:rPr>
          <w:rFonts w:asciiTheme="majorBidi" w:hAnsiTheme="majorBidi" w:cstheme="majorBidi"/>
          <w:sz w:val="24"/>
          <w:shd w:val="clear" w:color="auto" w:fill="FFFFFF"/>
        </w:rPr>
        <w:t xml:space="preserve"> [3].</w:t>
      </w:r>
    </w:p>
    <w:p w:rsidR="00CC019A" w:rsidRPr="00A55220" w:rsidRDefault="00CC019A" w:rsidP="00CC019A">
      <w:pPr>
        <w:autoSpaceDE w:val="0"/>
        <w:autoSpaceDN w:val="0"/>
        <w:spacing w:line="360" w:lineRule="auto"/>
        <w:ind w:firstLine="426"/>
        <w:rPr>
          <w:rFonts w:asciiTheme="majorBidi" w:hAnsiTheme="majorBidi" w:cstheme="majorBidi"/>
          <w:sz w:val="24"/>
          <w:shd w:val="clear" w:color="auto" w:fill="FFFFFF"/>
        </w:rPr>
      </w:pPr>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noProof/>
          <w:sz w:val="24"/>
        </w:rPr>
        <w:drawing>
          <wp:inline distT="0" distB="0" distL="0" distR="0">
            <wp:extent cx="5551200" cy="2517874"/>
            <wp:effectExtent l="19050" t="0" r="0" b="0"/>
            <wp:docPr id="4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5551200" cy="2517874"/>
                    </a:xfrm>
                    <a:prstGeom prst="rect">
                      <a:avLst/>
                    </a:prstGeom>
                    <a:noFill/>
                    <a:ln w="9525">
                      <a:noFill/>
                      <a:miter lim="800000"/>
                      <a:headEnd/>
                      <a:tailEnd/>
                    </a:ln>
                  </pic:spPr>
                </pic:pic>
              </a:graphicData>
            </a:graphic>
          </wp:inline>
        </w:drawing>
      </w:r>
    </w:p>
    <w:p w:rsidR="00CC019A" w:rsidRPr="00A55220" w:rsidRDefault="004C49EF" w:rsidP="004C49EF">
      <w:pPr>
        <w:pStyle w:val="Lgende"/>
        <w:jc w:val="center"/>
        <w:rPr>
          <w:rFonts w:cstheme="majorBidi"/>
          <w:szCs w:val="22"/>
        </w:rPr>
      </w:pPr>
      <w:r w:rsidRPr="00A55220">
        <w:rPr>
          <w:rFonts w:cstheme="majorBidi"/>
          <w:szCs w:val="22"/>
        </w:rPr>
        <w:t>Fig. I</w:t>
      </w:r>
      <w:r w:rsidR="00CC019A" w:rsidRPr="00A55220">
        <w:rPr>
          <w:rFonts w:cstheme="majorBidi"/>
          <w:szCs w:val="22"/>
        </w:rPr>
        <w:t xml:space="preserve">.3. </w:t>
      </w:r>
      <w:r w:rsidR="00CC019A" w:rsidRPr="00A55220">
        <w:rPr>
          <w:rFonts w:cstheme="majorBidi"/>
          <w:b w:val="0"/>
          <w:bCs w:val="0"/>
          <w:szCs w:val="22"/>
        </w:rPr>
        <w:t>Structure d’un transistor bipolaire</w:t>
      </w:r>
    </w:p>
    <w:p w:rsidR="00CC019A" w:rsidRPr="00A55220" w:rsidRDefault="00CC019A" w:rsidP="004C49EF">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L'interaction forte entre la jonction émetteur-base et la jonction base-collecteur, induite par une faible épaisseur de base, est à l'origine de l'effet transistor. Ce dernier consiste à engendrer (comme le montre la Figure </w:t>
      </w:r>
      <w:r w:rsidR="004C49EF" w:rsidRPr="00A55220">
        <w:rPr>
          <w:rFonts w:asciiTheme="majorBidi" w:hAnsiTheme="majorBidi" w:cstheme="majorBidi"/>
          <w:sz w:val="24"/>
        </w:rPr>
        <w:t>I</w:t>
      </w:r>
      <w:r w:rsidRPr="00A55220">
        <w:rPr>
          <w:rFonts w:asciiTheme="majorBidi" w:hAnsiTheme="majorBidi" w:cstheme="majorBidi"/>
          <w:sz w:val="24"/>
        </w:rPr>
        <w:t xml:space="preserve">.3 un courant dans la jonction base-collecteur </w:t>
      </w:r>
      <w:r w:rsidRPr="00A55220">
        <w:rPr>
          <w:rFonts w:asciiTheme="majorBidi" w:hAnsiTheme="majorBidi" w:cstheme="majorBidi"/>
          <w:sz w:val="24"/>
        </w:rPr>
        <w:lastRenderedPageBreak/>
        <w:t>polarisée en inverse, par l'injection de porteurs minoritaires (ci-dessus des électrons) dans la base à partir de la jonction émetteur-base polarisée en direct. Pour cela, les porteurs minoritaires injectés dans la base par l'émetteur doivent se recombiner le moins possible. Il est donc nécessaire que l'épaisseur de base soit très inférieure à la longueur de diffusion des porteurs minoritaires.</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 xml:space="preserve">Le transistor bipolaire possède différents régimes de fonctionnement qui diffèrent suivant les polarisations appliquées aux bornes des jonctions base-émetteur (BE) et base-collecteur (BC). On distingue les modes de fonctionnement suivants </w:t>
      </w:r>
      <w:r w:rsidRPr="00A55220">
        <w:rPr>
          <w:rFonts w:asciiTheme="majorBidi" w:hAnsiTheme="majorBidi" w:cstheme="majorBidi"/>
          <w:sz w:val="24"/>
          <w:shd w:val="clear" w:color="auto" w:fill="FFFFFF"/>
        </w:rPr>
        <w:t>[3</w:t>
      </w:r>
      <w:proofErr w:type="gramStart"/>
      <w:r w:rsidRPr="00A55220">
        <w:rPr>
          <w:rFonts w:asciiTheme="majorBidi" w:hAnsiTheme="majorBidi" w:cstheme="majorBidi"/>
          <w:sz w:val="24"/>
          <w:shd w:val="clear" w:color="auto" w:fill="FFFFFF"/>
        </w:rPr>
        <w:t>][</w:t>
      </w:r>
      <w:proofErr w:type="gramEnd"/>
      <w:r w:rsidRPr="00A55220">
        <w:rPr>
          <w:rFonts w:asciiTheme="majorBidi" w:hAnsiTheme="majorBidi" w:cstheme="majorBidi"/>
          <w:sz w:val="24"/>
          <w:shd w:val="clear" w:color="auto" w:fill="FFFFFF"/>
        </w:rPr>
        <w:t>4]</w:t>
      </w:r>
      <w:r w:rsidRPr="00A55220">
        <w:rPr>
          <w:rFonts w:asciiTheme="majorBidi" w:hAnsiTheme="majorBidi" w:cstheme="majorBidi"/>
          <w:sz w:val="24"/>
        </w:rPr>
        <w:t xml:space="preserve"> :</w:t>
      </w:r>
    </w:p>
    <w:p w:rsidR="00CC019A" w:rsidRPr="00A55220" w:rsidRDefault="00CC019A" w:rsidP="00CC019A">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A55220">
        <w:rPr>
          <w:rFonts w:asciiTheme="majorBidi" w:hAnsiTheme="majorBidi" w:cstheme="majorBidi"/>
          <w:sz w:val="24"/>
          <w:szCs w:val="24"/>
        </w:rPr>
        <w:t>Normal : les jonctions BE et BC sont polarisées respectivement en direct et en inverse,</w:t>
      </w:r>
    </w:p>
    <w:p w:rsidR="00CC019A" w:rsidRPr="00A55220" w:rsidRDefault="00CC019A" w:rsidP="00CC019A">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A55220">
        <w:rPr>
          <w:rFonts w:asciiTheme="majorBidi" w:hAnsiTheme="majorBidi" w:cstheme="majorBidi"/>
          <w:sz w:val="24"/>
          <w:szCs w:val="24"/>
        </w:rPr>
        <w:t>Saturé : les jonctions BE et BC sont toutes deux polarisées en direct,</w:t>
      </w:r>
    </w:p>
    <w:p w:rsidR="00CC019A" w:rsidRPr="00A55220" w:rsidRDefault="00CC019A" w:rsidP="00CC019A">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A55220">
        <w:rPr>
          <w:rFonts w:asciiTheme="majorBidi" w:hAnsiTheme="majorBidi" w:cstheme="majorBidi"/>
          <w:sz w:val="24"/>
          <w:szCs w:val="24"/>
        </w:rPr>
        <w:t>Bloqué : les jonctions BE et BC sont toutes deux polarisées en inverse,</w:t>
      </w:r>
    </w:p>
    <w:p w:rsidR="00CC019A" w:rsidRPr="00A55220" w:rsidRDefault="00CC019A" w:rsidP="00CC019A">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A55220">
        <w:rPr>
          <w:rFonts w:asciiTheme="majorBidi" w:hAnsiTheme="majorBidi" w:cstheme="majorBidi"/>
          <w:sz w:val="24"/>
          <w:szCs w:val="24"/>
        </w:rPr>
        <w:t>Inverse : les jonctions BE et BC sont polarisées respectivement en inverse et en direct.</w:t>
      </w:r>
    </w:p>
    <w:p w:rsidR="00CC019A" w:rsidRPr="00A55220" w:rsidRDefault="004C49EF" w:rsidP="00CC019A">
      <w:pPr>
        <w:pStyle w:val="Titre4"/>
        <w:spacing w:before="120"/>
        <w:rPr>
          <w:rFonts w:asciiTheme="majorBidi" w:hAnsiTheme="majorBidi" w:cstheme="majorBidi"/>
          <w:szCs w:val="24"/>
        </w:rPr>
      </w:pPr>
      <w:bookmarkStart w:id="19" w:name="_Toc418546453"/>
      <w:bookmarkStart w:id="20" w:name="_Toc418550260"/>
      <w:r w:rsidRPr="00A55220">
        <w:rPr>
          <w:rFonts w:asciiTheme="majorBidi" w:hAnsiTheme="majorBidi" w:cstheme="majorBidi"/>
          <w:szCs w:val="24"/>
        </w:rPr>
        <w:t xml:space="preserve">I.4.2. </w:t>
      </w:r>
      <w:r w:rsidR="00CC019A" w:rsidRPr="00A55220">
        <w:rPr>
          <w:rFonts w:asciiTheme="majorBidi" w:hAnsiTheme="majorBidi" w:cstheme="majorBidi"/>
          <w:szCs w:val="24"/>
        </w:rPr>
        <w:t>Contraintes et domaines d’utilisation</w:t>
      </w:r>
      <w:bookmarkEnd w:id="19"/>
      <w:bookmarkEnd w:id="20"/>
    </w:p>
    <w:p w:rsidR="00CC019A" w:rsidRPr="00A55220" w:rsidRDefault="00CC019A" w:rsidP="00CC019A">
      <w:pPr>
        <w:autoSpaceDE w:val="0"/>
        <w:autoSpaceDN w:val="0"/>
        <w:spacing w:line="360" w:lineRule="auto"/>
        <w:ind w:firstLine="426"/>
        <w:rPr>
          <w:rFonts w:asciiTheme="majorBidi" w:hAnsiTheme="majorBidi" w:cstheme="majorBidi"/>
          <w:b/>
          <w:bCs/>
          <w:sz w:val="24"/>
        </w:rPr>
      </w:pPr>
      <w:r w:rsidRPr="00A55220">
        <w:rPr>
          <w:rFonts w:asciiTheme="majorBidi" w:hAnsiTheme="majorBidi" w:cstheme="majorBidi"/>
          <w:sz w:val="24"/>
          <w:shd w:val="clear" w:color="auto" w:fill="FFFFFF"/>
        </w:rPr>
        <w:t>le</w:t>
      </w:r>
      <w:r w:rsidRPr="00A55220">
        <w:rPr>
          <w:rStyle w:val="apple-converted-space"/>
          <w:rFonts w:asciiTheme="majorBidi" w:hAnsiTheme="majorBidi" w:cstheme="majorBidi"/>
          <w:sz w:val="24"/>
          <w:shd w:val="clear" w:color="auto" w:fill="FFFFFF"/>
        </w:rPr>
        <w:t> </w:t>
      </w:r>
      <w:hyperlink r:id="rId19" w:tooltip="Transistor bipolaire" w:history="1">
        <w:r w:rsidRPr="00A55220">
          <w:rPr>
            <w:rStyle w:val="Lienhypertexte"/>
            <w:rFonts w:asciiTheme="majorBidi" w:hAnsiTheme="majorBidi" w:cstheme="majorBidi"/>
            <w:color w:val="auto"/>
            <w:sz w:val="24"/>
            <w:u w:val="none"/>
            <w:shd w:val="clear" w:color="auto" w:fill="FFFFFF"/>
          </w:rPr>
          <w:t>transistor bipolaire</w:t>
        </w:r>
      </w:hyperlink>
      <w:r w:rsidRPr="00A55220">
        <w:rPr>
          <w:rStyle w:val="apple-converted-space"/>
          <w:rFonts w:asciiTheme="majorBidi" w:hAnsiTheme="majorBidi" w:cstheme="majorBidi"/>
          <w:sz w:val="24"/>
          <w:shd w:val="clear" w:color="auto" w:fill="FFFFFF"/>
        </w:rPr>
        <w:t xml:space="preserve">  nous </w:t>
      </w:r>
      <w:r w:rsidRPr="00A55220">
        <w:rPr>
          <w:rFonts w:asciiTheme="majorBidi" w:hAnsiTheme="majorBidi" w:cstheme="majorBidi"/>
          <w:sz w:val="24"/>
          <w:shd w:val="clear" w:color="auto" w:fill="FFFFFF"/>
        </w:rPr>
        <w:t xml:space="preserve">permet de contrôler un courant (ou une tension) sur une des électrodes de sorties (le collecteur) grâce à une électrode d'entrée (la base), on peut l’utilisé aussi </w:t>
      </w:r>
      <w:r w:rsidRPr="00A55220">
        <w:rPr>
          <w:rFonts w:asciiTheme="majorBidi" w:hAnsiTheme="majorBidi" w:cstheme="majorBidi"/>
          <w:sz w:val="24"/>
        </w:rPr>
        <w:t xml:space="preserve">comme amplificateur de signal ; et </w:t>
      </w:r>
      <w:r w:rsidRPr="00A55220">
        <w:rPr>
          <w:rFonts w:asciiTheme="majorBidi" w:hAnsiTheme="majorBidi" w:cstheme="majorBidi"/>
          <w:sz w:val="24"/>
          <w:shd w:val="clear" w:color="auto" w:fill="FFFFFF"/>
        </w:rPr>
        <w:t>pour stabiliser une</w:t>
      </w:r>
      <w:r w:rsidRPr="00A55220">
        <w:rPr>
          <w:rStyle w:val="apple-converted-space"/>
          <w:rFonts w:asciiTheme="majorBidi" w:hAnsiTheme="majorBidi" w:cstheme="majorBidi"/>
          <w:sz w:val="24"/>
          <w:shd w:val="clear" w:color="auto" w:fill="FFFFFF"/>
        </w:rPr>
        <w:t> </w:t>
      </w:r>
      <w:hyperlink r:id="rId20" w:tooltip="Tension électrique" w:history="1">
        <w:r w:rsidRPr="00A55220">
          <w:rPr>
            <w:rStyle w:val="Lienhypertexte"/>
            <w:rFonts w:asciiTheme="majorBidi" w:hAnsiTheme="majorBidi" w:cstheme="majorBidi"/>
            <w:color w:val="auto"/>
            <w:sz w:val="24"/>
            <w:u w:val="none"/>
            <w:shd w:val="clear" w:color="auto" w:fill="FFFFFF"/>
          </w:rPr>
          <w:t>tension</w:t>
        </w:r>
      </w:hyperlink>
      <w:r w:rsidRPr="00A55220">
        <w:rPr>
          <w:rFonts w:asciiTheme="majorBidi" w:hAnsiTheme="majorBidi" w:cstheme="majorBidi"/>
          <w:sz w:val="24"/>
          <w:shd w:val="clear" w:color="auto" w:fill="FFFFFF"/>
        </w:rPr>
        <w:t>,</w:t>
      </w:r>
      <w:r w:rsidRPr="00A55220">
        <w:rPr>
          <w:rStyle w:val="apple-converted-space"/>
          <w:rFonts w:asciiTheme="majorBidi" w:hAnsiTheme="majorBidi" w:cstheme="majorBidi"/>
          <w:sz w:val="24"/>
          <w:shd w:val="clear" w:color="auto" w:fill="FFFFFF"/>
        </w:rPr>
        <w:t> </w:t>
      </w:r>
      <w:hyperlink r:id="rId21" w:tooltip="Modulation du signal" w:history="1">
        <w:r w:rsidRPr="00A55220">
          <w:rPr>
            <w:rStyle w:val="Lienhypertexte"/>
            <w:rFonts w:asciiTheme="majorBidi" w:hAnsiTheme="majorBidi" w:cstheme="majorBidi"/>
            <w:color w:val="auto"/>
            <w:sz w:val="24"/>
            <w:u w:val="none"/>
            <w:shd w:val="clear" w:color="auto" w:fill="FFFFFF"/>
          </w:rPr>
          <w:t>moduler</w:t>
        </w:r>
      </w:hyperlink>
      <w:r w:rsidRPr="00A55220">
        <w:rPr>
          <w:rStyle w:val="apple-converted-space"/>
          <w:rFonts w:asciiTheme="majorBidi" w:hAnsiTheme="majorBidi" w:cstheme="majorBidi"/>
          <w:sz w:val="24"/>
          <w:shd w:val="clear" w:color="auto" w:fill="FFFFFF"/>
        </w:rPr>
        <w:t> </w:t>
      </w:r>
      <w:r w:rsidRPr="00A55220">
        <w:rPr>
          <w:rFonts w:asciiTheme="majorBidi" w:hAnsiTheme="majorBidi" w:cstheme="majorBidi"/>
          <w:sz w:val="24"/>
          <w:shd w:val="clear" w:color="auto" w:fill="FFFFFF"/>
        </w:rPr>
        <w:t>un</w:t>
      </w:r>
      <w:r w:rsidRPr="00A55220">
        <w:rPr>
          <w:rStyle w:val="apple-converted-space"/>
          <w:rFonts w:asciiTheme="majorBidi" w:hAnsiTheme="majorBidi" w:cstheme="majorBidi"/>
          <w:sz w:val="24"/>
          <w:shd w:val="clear" w:color="auto" w:fill="FFFFFF"/>
        </w:rPr>
        <w:t> </w:t>
      </w:r>
      <w:hyperlink r:id="rId22" w:tooltip="Signal électrique" w:history="1">
        <w:r w:rsidRPr="00A55220">
          <w:rPr>
            <w:rStyle w:val="Lienhypertexte"/>
            <w:rFonts w:asciiTheme="majorBidi" w:hAnsiTheme="majorBidi" w:cstheme="majorBidi"/>
            <w:color w:val="auto"/>
            <w:sz w:val="24"/>
            <w:u w:val="none"/>
            <w:shd w:val="clear" w:color="auto" w:fill="FFFFFF"/>
          </w:rPr>
          <w:t>signal</w:t>
        </w:r>
      </w:hyperlink>
      <w:r w:rsidRPr="00A55220">
        <w:rPr>
          <w:rStyle w:val="apple-converted-space"/>
          <w:rFonts w:asciiTheme="majorBidi" w:hAnsiTheme="majorBidi" w:cstheme="majorBidi"/>
          <w:sz w:val="24"/>
          <w:shd w:val="clear" w:color="auto" w:fill="FFFFFF"/>
        </w:rPr>
        <w:t> </w:t>
      </w:r>
      <w:r w:rsidRPr="00A55220">
        <w:rPr>
          <w:rFonts w:asciiTheme="majorBidi" w:hAnsiTheme="majorBidi" w:cstheme="majorBidi"/>
          <w:sz w:val="24"/>
          <w:shd w:val="clear" w:color="auto" w:fill="FFFFFF"/>
        </w:rPr>
        <w:t>ainsi que de nombreuses autres utilisations [2].</w:t>
      </w:r>
    </w:p>
    <w:p w:rsidR="00CC019A" w:rsidRPr="00A55220" w:rsidRDefault="004C49EF" w:rsidP="00CC019A">
      <w:pPr>
        <w:pStyle w:val="Titre3"/>
        <w:spacing w:before="120"/>
        <w:rPr>
          <w:rFonts w:asciiTheme="majorBidi" w:hAnsiTheme="majorBidi" w:cstheme="majorBidi"/>
          <w:sz w:val="28"/>
          <w:szCs w:val="28"/>
        </w:rPr>
      </w:pPr>
      <w:bookmarkStart w:id="21" w:name="_Toc418546454"/>
      <w:bookmarkStart w:id="22" w:name="_Toc418550261"/>
      <w:r w:rsidRPr="00A55220">
        <w:rPr>
          <w:rFonts w:asciiTheme="majorBidi" w:hAnsiTheme="majorBidi" w:cstheme="majorBidi"/>
          <w:sz w:val="28"/>
          <w:szCs w:val="28"/>
        </w:rPr>
        <w:t xml:space="preserve">I.5. </w:t>
      </w:r>
      <w:r w:rsidR="00CC019A" w:rsidRPr="00A55220">
        <w:rPr>
          <w:rFonts w:asciiTheme="majorBidi" w:hAnsiTheme="majorBidi" w:cstheme="majorBidi"/>
          <w:sz w:val="28"/>
          <w:szCs w:val="28"/>
        </w:rPr>
        <w:t>Le Transistor à Effet de Champ à Jonction (JFET)</w:t>
      </w:r>
      <w:bookmarkEnd w:id="21"/>
      <w:bookmarkEnd w:id="22"/>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Le concept d'un semi-conducteur à triode comme structure similaire au transistor à effet de champ à jonction (JFET) a été proposée, la première fois, par Jules </w:t>
      </w:r>
      <w:proofErr w:type="spellStart"/>
      <w:r w:rsidRPr="00A55220">
        <w:rPr>
          <w:rFonts w:asciiTheme="majorBidi" w:hAnsiTheme="majorBidi" w:cstheme="majorBidi"/>
          <w:sz w:val="24"/>
        </w:rPr>
        <w:t>Lilienfeld</w:t>
      </w:r>
      <w:proofErr w:type="spellEnd"/>
      <w:r w:rsidRPr="00A55220">
        <w:rPr>
          <w:rFonts w:asciiTheme="majorBidi" w:hAnsiTheme="majorBidi" w:cstheme="majorBidi"/>
          <w:sz w:val="24"/>
        </w:rPr>
        <w:t xml:space="preserve"> dans trois révélations de brevet au alentour de 1925, suivis d'un brevet semblable par Oskar </w:t>
      </w:r>
      <w:proofErr w:type="spellStart"/>
      <w:r w:rsidRPr="00A55220">
        <w:rPr>
          <w:rFonts w:asciiTheme="majorBidi" w:hAnsiTheme="majorBidi" w:cstheme="majorBidi"/>
          <w:sz w:val="24"/>
        </w:rPr>
        <w:t>Heil</w:t>
      </w:r>
      <w:proofErr w:type="spellEnd"/>
      <w:r w:rsidRPr="00A55220">
        <w:rPr>
          <w:rFonts w:asciiTheme="majorBidi" w:hAnsiTheme="majorBidi" w:cstheme="majorBidi"/>
          <w:sz w:val="24"/>
        </w:rPr>
        <w:t xml:space="preserve"> en 1935. Cependant, un dispositif fonctionnant réellement est demeuré évasif pendant une période d'encore 25 années principalement dues à la difficulté de développer une surface semi-conductrice propre. Après ces années, les efforts cumulatifs d'un certain nombre de chercheurs aux laboratoires de Bell comprenant </w:t>
      </w:r>
      <w:proofErr w:type="spellStart"/>
      <w:r w:rsidRPr="00A55220">
        <w:rPr>
          <w:rFonts w:asciiTheme="majorBidi" w:hAnsiTheme="majorBidi" w:cstheme="majorBidi"/>
          <w:sz w:val="24"/>
        </w:rPr>
        <w:t>Atalla</w:t>
      </w:r>
      <w:proofErr w:type="spellEnd"/>
      <w:r w:rsidRPr="00A55220">
        <w:rPr>
          <w:rFonts w:asciiTheme="majorBidi" w:hAnsiTheme="majorBidi" w:cstheme="majorBidi"/>
          <w:sz w:val="24"/>
        </w:rPr>
        <w:t xml:space="preserve">, Bardeen, Brattain, brun, Derick, </w:t>
      </w:r>
      <w:proofErr w:type="spellStart"/>
      <w:r w:rsidRPr="00A55220">
        <w:rPr>
          <w:rFonts w:asciiTheme="majorBidi" w:hAnsiTheme="majorBidi" w:cstheme="majorBidi"/>
          <w:sz w:val="24"/>
        </w:rPr>
        <w:t>Frosch</w:t>
      </w:r>
      <w:proofErr w:type="spellEnd"/>
      <w:r w:rsidRPr="00A55220">
        <w:rPr>
          <w:rFonts w:asciiTheme="majorBidi" w:hAnsiTheme="majorBidi" w:cstheme="majorBidi"/>
          <w:sz w:val="24"/>
        </w:rPr>
        <w:t xml:space="preserve">, </w:t>
      </w:r>
      <w:proofErr w:type="spellStart"/>
      <w:r w:rsidRPr="00A55220">
        <w:rPr>
          <w:rFonts w:asciiTheme="majorBidi" w:hAnsiTheme="majorBidi" w:cstheme="majorBidi"/>
          <w:sz w:val="24"/>
        </w:rPr>
        <w:t>Gibney</w:t>
      </w:r>
      <w:proofErr w:type="spellEnd"/>
      <w:r w:rsidRPr="00A55220">
        <w:rPr>
          <w:rFonts w:asciiTheme="majorBidi" w:hAnsiTheme="majorBidi" w:cstheme="majorBidi"/>
          <w:sz w:val="24"/>
        </w:rPr>
        <w:t xml:space="preserve">, </w:t>
      </w:r>
      <w:proofErr w:type="spellStart"/>
      <w:r w:rsidRPr="00A55220">
        <w:rPr>
          <w:rFonts w:asciiTheme="majorBidi" w:hAnsiTheme="majorBidi" w:cstheme="majorBidi"/>
          <w:sz w:val="24"/>
        </w:rPr>
        <w:t>Hoerni</w:t>
      </w:r>
      <w:proofErr w:type="spellEnd"/>
      <w:r w:rsidRPr="00A55220">
        <w:rPr>
          <w:rFonts w:asciiTheme="majorBidi" w:hAnsiTheme="majorBidi" w:cstheme="majorBidi"/>
          <w:sz w:val="24"/>
        </w:rPr>
        <w:t xml:space="preserve">, </w:t>
      </w:r>
      <w:proofErr w:type="spellStart"/>
      <w:r w:rsidRPr="00A55220">
        <w:rPr>
          <w:rFonts w:asciiTheme="majorBidi" w:hAnsiTheme="majorBidi" w:cstheme="majorBidi"/>
          <w:sz w:val="24"/>
        </w:rPr>
        <w:t>Kahng</w:t>
      </w:r>
      <w:proofErr w:type="spellEnd"/>
      <w:r w:rsidRPr="00A55220">
        <w:rPr>
          <w:rFonts w:asciiTheme="majorBidi" w:hAnsiTheme="majorBidi" w:cstheme="majorBidi"/>
          <w:sz w:val="24"/>
        </w:rPr>
        <w:t xml:space="preserve">, </w:t>
      </w:r>
      <w:proofErr w:type="spellStart"/>
      <w:r w:rsidRPr="00A55220">
        <w:rPr>
          <w:rFonts w:asciiTheme="majorBidi" w:hAnsiTheme="majorBidi" w:cstheme="majorBidi"/>
          <w:sz w:val="24"/>
        </w:rPr>
        <w:t>Ligenza</w:t>
      </w:r>
      <w:proofErr w:type="spellEnd"/>
      <w:r w:rsidRPr="00A55220">
        <w:rPr>
          <w:rFonts w:asciiTheme="majorBidi" w:hAnsiTheme="majorBidi" w:cstheme="majorBidi"/>
          <w:sz w:val="24"/>
        </w:rPr>
        <w:t xml:space="preserve">, </w:t>
      </w:r>
      <w:proofErr w:type="spellStart"/>
      <w:r w:rsidRPr="00A55220">
        <w:rPr>
          <w:rFonts w:asciiTheme="majorBidi" w:hAnsiTheme="majorBidi" w:cstheme="majorBidi"/>
          <w:sz w:val="24"/>
        </w:rPr>
        <w:t>Shockley</w:t>
      </w:r>
      <w:proofErr w:type="spellEnd"/>
      <w:r w:rsidRPr="00A55220">
        <w:rPr>
          <w:rFonts w:asciiTheme="majorBidi" w:hAnsiTheme="majorBidi" w:cstheme="majorBidi"/>
          <w:sz w:val="24"/>
        </w:rPr>
        <w:t xml:space="preserve">, </w:t>
      </w:r>
      <w:proofErr w:type="spellStart"/>
      <w:r w:rsidRPr="00A55220">
        <w:rPr>
          <w:rFonts w:asciiTheme="majorBidi" w:hAnsiTheme="majorBidi" w:cstheme="majorBidi"/>
          <w:sz w:val="24"/>
        </w:rPr>
        <w:t>Spitzer</w:t>
      </w:r>
      <w:proofErr w:type="spellEnd"/>
      <w:r w:rsidRPr="00A55220">
        <w:rPr>
          <w:rFonts w:asciiTheme="majorBidi" w:hAnsiTheme="majorBidi" w:cstheme="majorBidi"/>
          <w:sz w:val="24"/>
        </w:rPr>
        <w:t>, et Warner ont lentement mené à la réalisation de ce dispositif [5].</w:t>
      </w:r>
    </w:p>
    <w:p w:rsidR="00CC019A" w:rsidRPr="00A55220" w:rsidRDefault="004C49EF" w:rsidP="00CC019A">
      <w:pPr>
        <w:pStyle w:val="Titre4"/>
        <w:spacing w:before="120"/>
        <w:rPr>
          <w:rFonts w:asciiTheme="majorBidi" w:hAnsiTheme="majorBidi" w:cstheme="majorBidi"/>
          <w:szCs w:val="24"/>
        </w:rPr>
      </w:pPr>
      <w:bookmarkStart w:id="23" w:name="_Toc418546455"/>
      <w:bookmarkStart w:id="24" w:name="_Toc418550262"/>
      <w:r w:rsidRPr="00A55220">
        <w:rPr>
          <w:rFonts w:asciiTheme="majorBidi" w:hAnsiTheme="majorBidi" w:cstheme="majorBidi"/>
          <w:szCs w:val="24"/>
        </w:rPr>
        <w:t xml:space="preserve">I.5.1. </w:t>
      </w:r>
      <w:r w:rsidR="00CC019A" w:rsidRPr="00A55220">
        <w:rPr>
          <w:rFonts w:asciiTheme="majorBidi" w:hAnsiTheme="majorBidi" w:cstheme="majorBidi"/>
          <w:szCs w:val="24"/>
        </w:rPr>
        <w:t>Structure et Description</w:t>
      </w:r>
      <w:bookmarkEnd w:id="23"/>
      <w:bookmarkEnd w:id="24"/>
    </w:p>
    <w:p w:rsidR="00CC019A" w:rsidRPr="00A55220" w:rsidRDefault="00CC019A" w:rsidP="004C49EF">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Le transistor JFET (Junction Field </w:t>
      </w:r>
      <w:proofErr w:type="spellStart"/>
      <w:r w:rsidRPr="00A55220">
        <w:rPr>
          <w:rFonts w:asciiTheme="majorBidi" w:hAnsiTheme="majorBidi" w:cstheme="majorBidi"/>
          <w:sz w:val="24"/>
        </w:rPr>
        <w:t>Effect</w:t>
      </w:r>
      <w:proofErr w:type="spellEnd"/>
      <w:r w:rsidRPr="00A55220">
        <w:rPr>
          <w:rFonts w:asciiTheme="majorBidi" w:hAnsiTheme="majorBidi" w:cstheme="majorBidi"/>
          <w:sz w:val="24"/>
        </w:rPr>
        <w:t xml:space="preserve"> Transistor) est un composant de structure plane. Il est constitué par une mince couche de matériau semi-conducteur de type N (pour un JFET </w:t>
      </w:r>
      <w:r w:rsidRPr="00A55220">
        <w:rPr>
          <w:rFonts w:asciiTheme="majorBidi" w:hAnsiTheme="majorBidi" w:cstheme="majorBidi"/>
          <w:sz w:val="24"/>
        </w:rPr>
        <w:lastRenderedPageBreak/>
        <w:t>canal N), sur un substrat de type P. Une diffusion de type P</w:t>
      </w:r>
      <w:r w:rsidRPr="00A55220">
        <w:rPr>
          <w:rFonts w:asciiTheme="majorBidi" w:hAnsiTheme="majorBidi" w:cstheme="majorBidi"/>
          <w:sz w:val="24"/>
          <w:vertAlign w:val="superscript"/>
        </w:rPr>
        <w:t>+</w:t>
      </w:r>
      <w:r w:rsidRPr="00A55220">
        <w:rPr>
          <w:rFonts w:asciiTheme="majorBidi" w:hAnsiTheme="majorBidi" w:cstheme="majorBidi"/>
          <w:sz w:val="24"/>
        </w:rPr>
        <w:t xml:space="preserve"> à la surface de la couche réalise l'électrode de la grille et constituant ainsi une jonction P</w:t>
      </w:r>
      <w:r w:rsidRPr="00A55220">
        <w:rPr>
          <w:rFonts w:asciiTheme="majorBidi" w:hAnsiTheme="majorBidi" w:cstheme="majorBidi"/>
          <w:sz w:val="24"/>
          <w:vertAlign w:val="superscript"/>
        </w:rPr>
        <w:t>+</w:t>
      </w:r>
      <w:r w:rsidRPr="00A55220">
        <w:rPr>
          <w:rFonts w:asciiTheme="majorBidi" w:hAnsiTheme="majorBidi" w:cstheme="majorBidi"/>
          <w:sz w:val="24"/>
        </w:rPr>
        <w:t xml:space="preserve">N verticale figure </w:t>
      </w:r>
      <w:r w:rsidR="004C49EF" w:rsidRPr="00A55220">
        <w:rPr>
          <w:rFonts w:asciiTheme="majorBidi" w:hAnsiTheme="majorBidi" w:cstheme="majorBidi"/>
          <w:sz w:val="24"/>
        </w:rPr>
        <w:t>I</w:t>
      </w:r>
      <w:r w:rsidRPr="00A55220">
        <w:rPr>
          <w:rFonts w:asciiTheme="majorBidi" w:hAnsiTheme="majorBidi" w:cstheme="majorBidi"/>
          <w:sz w:val="24"/>
        </w:rPr>
        <w:t>.4. Deux diffusions N</w:t>
      </w:r>
      <w:r w:rsidRPr="00A55220">
        <w:rPr>
          <w:rFonts w:asciiTheme="majorBidi" w:hAnsiTheme="majorBidi" w:cstheme="majorBidi"/>
          <w:sz w:val="24"/>
          <w:vertAlign w:val="superscript"/>
        </w:rPr>
        <w:t>+</w:t>
      </w:r>
      <w:r w:rsidRPr="00A55220">
        <w:rPr>
          <w:rFonts w:asciiTheme="majorBidi" w:hAnsiTheme="majorBidi" w:cstheme="majorBidi"/>
          <w:sz w:val="24"/>
        </w:rPr>
        <w:t>, aux extrémités du canal, permettent d'assurer les contacts ohmiques de source et de drain [1].</w:t>
      </w:r>
    </w:p>
    <w:p w:rsidR="00CC019A" w:rsidRPr="00A55220" w:rsidRDefault="00CC019A" w:rsidP="00CC019A">
      <w:pPr>
        <w:autoSpaceDE w:val="0"/>
        <w:autoSpaceDN w:val="0"/>
        <w:spacing w:line="360" w:lineRule="auto"/>
        <w:rPr>
          <w:rFonts w:asciiTheme="majorBidi" w:hAnsiTheme="majorBidi" w:cstheme="majorBidi"/>
          <w:sz w:val="24"/>
        </w:rPr>
      </w:pPr>
    </w:p>
    <w:p w:rsidR="00CC019A" w:rsidRPr="00A55220" w:rsidRDefault="00CC019A" w:rsidP="00CC019A">
      <w:pPr>
        <w:autoSpaceDE w:val="0"/>
        <w:autoSpaceDN w:val="0"/>
        <w:spacing w:line="360" w:lineRule="auto"/>
        <w:jc w:val="center"/>
        <w:rPr>
          <w:rFonts w:asciiTheme="majorBidi" w:hAnsiTheme="majorBidi" w:cstheme="majorBidi"/>
          <w:sz w:val="24"/>
        </w:rPr>
      </w:pPr>
      <w:r w:rsidRPr="00A55220">
        <w:rPr>
          <w:rFonts w:asciiTheme="majorBidi" w:hAnsiTheme="majorBidi" w:cstheme="majorBidi"/>
          <w:noProof/>
          <w:sz w:val="24"/>
        </w:rPr>
        <w:drawing>
          <wp:inline distT="0" distB="0" distL="0" distR="0">
            <wp:extent cx="4564380" cy="1726565"/>
            <wp:effectExtent l="19050" t="0" r="7620" b="0"/>
            <wp:docPr id="5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4564380" cy="1726565"/>
                    </a:xfrm>
                    <a:prstGeom prst="rect">
                      <a:avLst/>
                    </a:prstGeom>
                    <a:noFill/>
                    <a:ln w="9525">
                      <a:noFill/>
                      <a:miter lim="800000"/>
                      <a:headEnd/>
                      <a:tailEnd/>
                    </a:ln>
                  </pic:spPr>
                </pic:pic>
              </a:graphicData>
            </a:graphic>
          </wp:inline>
        </w:drawing>
      </w:r>
    </w:p>
    <w:p w:rsidR="00CC019A" w:rsidRPr="00A55220" w:rsidRDefault="00CC019A" w:rsidP="004C49EF">
      <w:pPr>
        <w:pStyle w:val="Lgende"/>
        <w:jc w:val="center"/>
        <w:rPr>
          <w:rFonts w:cstheme="majorBidi"/>
          <w:b w:val="0"/>
          <w:bCs w:val="0"/>
          <w:szCs w:val="22"/>
        </w:rPr>
      </w:pPr>
      <w:r w:rsidRPr="00A55220">
        <w:rPr>
          <w:rFonts w:cstheme="majorBidi"/>
          <w:szCs w:val="22"/>
        </w:rPr>
        <w:t>Fig</w:t>
      </w:r>
      <w:r w:rsidR="004C49EF" w:rsidRPr="00A55220">
        <w:rPr>
          <w:rFonts w:cstheme="majorBidi"/>
          <w:szCs w:val="22"/>
        </w:rPr>
        <w:t>. I</w:t>
      </w:r>
      <w:r w:rsidRPr="00A55220">
        <w:rPr>
          <w:rFonts w:cstheme="majorBidi"/>
          <w:szCs w:val="22"/>
        </w:rPr>
        <w:t>.4.</w:t>
      </w:r>
      <w:r w:rsidRPr="00A55220">
        <w:rPr>
          <w:rFonts w:cstheme="majorBidi"/>
          <w:b w:val="0"/>
          <w:bCs w:val="0"/>
          <w:szCs w:val="22"/>
        </w:rPr>
        <w:t xml:space="preserve">  Transistor JFET à canal N et symboles</w:t>
      </w:r>
    </w:p>
    <w:p w:rsidR="00CC019A" w:rsidRPr="00A55220" w:rsidRDefault="00CC019A" w:rsidP="00CC019A">
      <w:pPr>
        <w:pStyle w:val="Lgende"/>
        <w:jc w:val="center"/>
        <w:rPr>
          <w:rFonts w:cstheme="majorBidi"/>
          <w:b w:val="0"/>
          <w:bCs w:val="0"/>
          <w:szCs w:val="22"/>
        </w:rPr>
      </w:pPr>
      <w:proofErr w:type="gramStart"/>
      <w:r w:rsidRPr="00A55220">
        <w:rPr>
          <w:rFonts w:cstheme="majorBidi"/>
          <w:b w:val="0"/>
          <w:bCs w:val="0"/>
          <w:szCs w:val="22"/>
        </w:rPr>
        <w:t>des</w:t>
      </w:r>
      <w:proofErr w:type="gramEnd"/>
      <w:r w:rsidRPr="00A55220">
        <w:rPr>
          <w:rFonts w:cstheme="majorBidi"/>
          <w:b w:val="0"/>
          <w:bCs w:val="0"/>
          <w:szCs w:val="22"/>
        </w:rPr>
        <w:t xml:space="preserve"> deux types de JFET</w:t>
      </w:r>
    </w:p>
    <w:p w:rsidR="00CC019A" w:rsidRPr="00A55220" w:rsidRDefault="004C49EF" w:rsidP="00CC019A">
      <w:pPr>
        <w:pStyle w:val="Titre4"/>
        <w:spacing w:before="120"/>
        <w:rPr>
          <w:rFonts w:asciiTheme="majorBidi" w:hAnsiTheme="majorBidi" w:cstheme="majorBidi"/>
          <w:szCs w:val="24"/>
        </w:rPr>
      </w:pPr>
      <w:bookmarkStart w:id="25" w:name="_Toc418546456"/>
      <w:bookmarkStart w:id="26" w:name="_Toc418550263"/>
      <w:r w:rsidRPr="00A55220">
        <w:rPr>
          <w:rFonts w:asciiTheme="majorBidi" w:hAnsiTheme="majorBidi" w:cstheme="majorBidi"/>
          <w:szCs w:val="24"/>
        </w:rPr>
        <w:t xml:space="preserve">I.5.2. </w:t>
      </w:r>
      <w:r w:rsidR="00CC019A" w:rsidRPr="00A55220">
        <w:rPr>
          <w:rFonts w:asciiTheme="majorBidi" w:hAnsiTheme="majorBidi" w:cstheme="majorBidi"/>
          <w:szCs w:val="24"/>
        </w:rPr>
        <w:t xml:space="preserve">Principe de fonctionnement du JFET </w:t>
      </w:r>
      <w:bookmarkEnd w:id="25"/>
      <w:bookmarkEnd w:id="26"/>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Dans le transistor à effet de champ à jonction (JFET), la variation de la tension de polarisation permet la modulation de la largeur de la zone de charge d’espace de la jonction latérale "P</w:t>
      </w:r>
      <w:r w:rsidRPr="00A55220">
        <w:rPr>
          <w:rFonts w:asciiTheme="majorBidi" w:hAnsiTheme="majorBidi" w:cstheme="majorBidi"/>
          <w:sz w:val="24"/>
          <w:vertAlign w:val="superscript"/>
        </w:rPr>
        <w:t>+</w:t>
      </w:r>
      <w:r w:rsidRPr="00A55220">
        <w:rPr>
          <w:rFonts w:asciiTheme="majorBidi" w:hAnsiTheme="majorBidi" w:cstheme="majorBidi"/>
          <w:sz w:val="24"/>
        </w:rPr>
        <w:t>N". Autrement dit, la variation de la polarisation module la variation de la section conductrice du canal. Sans polarisation, il peut y avoir une zone de désertion (déplétion) sur une certaine profondeur dans le canal. La désertion est liée à différents paramètres tels que le matériau de la grille et les propriétés d'interface [6</w:t>
      </w:r>
      <w:proofErr w:type="gramStart"/>
      <w:r w:rsidRPr="00A55220">
        <w:rPr>
          <w:rFonts w:asciiTheme="majorBidi" w:hAnsiTheme="majorBidi" w:cstheme="majorBidi"/>
          <w:sz w:val="24"/>
        </w:rPr>
        <w:t>][</w:t>
      </w:r>
      <w:proofErr w:type="gramEnd"/>
      <w:r w:rsidRPr="00A55220">
        <w:rPr>
          <w:rFonts w:asciiTheme="majorBidi" w:hAnsiTheme="majorBidi" w:cstheme="majorBidi"/>
          <w:sz w:val="24"/>
        </w:rPr>
        <w:t xml:space="preserve">1]. </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 xml:space="preserve">Pour une tension drain source Vds nulle, la variation de la tension grille </w:t>
      </w:r>
      <w:proofErr w:type="spellStart"/>
      <w:r w:rsidRPr="00A55220">
        <w:rPr>
          <w:rFonts w:asciiTheme="majorBidi" w:hAnsiTheme="majorBidi" w:cstheme="majorBidi"/>
          <w:sz w:val="24"/>
        </w:rPr>
        <w:t>Vgs</w:t>
      </w:r>
      <w:proofErr w:type="spellEnd"/>
      <w:r w:rsidRPr="00A55220">
        <w:rPr>
          <w:rFonts w:asciiTheme="majorBidi" w:hAnsiTheme="majorBidi" w:cstheme="majorBidi"/>
          <w:sz w:val="24"/>
        </w:rPr>
        <w:t xml:space="preserve"> module la profondeur de la zone de désertion, et donc la partie conductrice du canal. Pour une polarisation </w:t>
      </w:r>
      <w:proofErr w:type="spellStart"/>
      <w:r w:rsidRPr="00A55220">
        <w:rPr>
          <w:rFonts w:asciiTheme="majorBidi" w:hAnsiTheme="majorBidi" w:cstheme="majorBidi"/>
          <w:sz w:val="24"/>
        </w:rPr>
        <w:t>Vgs</w:t>
      </w:r>
      <w:proofErr w:type="spellEnd"/>
      <w:r w:rsidRPr="00A55220">
        <w:rPr>
          <w:rFonts w:asciiTheme="majorBidi" w:hAnsiTheme="majorBidi" w:cstheme="majorBidi"/>
          <w:sz w:val="24"/>
        </w:rPr>
        <w:t xml:space="preserve"> &lt; 0 (et </w:t>
      </w:r>
      <w:r w:rsidRPr="00A55220">
        <w:rPr>
          <w:rFonts w:asciiTheme="majorBidi" w:hAnsiTheme="majorBidi" w:cstheme="majorBidi"/>
          <w:i/>
          <w:iCs/>
          <w:sz w:val="24"/>
        </w:rPr>
        <w:t>V</w:t>
      </w:r>
      <w:r w:rsidRPr="00A55220">
        <w:rPr>
          <w:rFonts w:asciiTheme="majorBidi" w:hAnsiTheme="majorBidi" w:cstheme="majorBidi"/>
          <w:sz w:val="24"/>
        </w:rPr>
        <w:t xml:space="preserve">ds ≈ 0 volt), la zone de désertion se développe plus profondément dans le canal, provoquant le rétrécissement de </w:t>
      </w:r>
      <w:proofErr w:type="spellStart"/>
      <w:r w:rsidRPr="00A55220">
        <w:rPr>
          <w:rFonts w:asciiTheme="majorBidi" w:hAnsiTheme="majorBidi" w:cstheme="majorBidi"/>
          <w:sz w:val="24"/>
        </w:rPr>
        <w:t>celuici</w:t>
      </w:r>
      <w:proofErr w:type="spellEnd"/>
      <w:r w:rsidRPr="00A55220">
        <w:rPr>
          <w:rFonts w:asciiTheme="majorBidi" w:hAnsiTheme="majorBidi" w:cstheme="majorBidi"/>
          <w:sz w:val="24"/>
        </w:rPr>
        <w:t xml:space="preserve"> et donc une augmentation de sa résistance. Pour une tension </w:t>
      </w:r>
      <w:proofErr w:type="spellStart"/>
      <w:r w:rsidRPr="00A55220">
        <w:rPr>
          <w:rFonts w:asciiTheme="majorBidi" w:hAnsiTheme="majorBidi" w:cstheme="majorBidi"/>
          <w:sz w:val="24"/>
        </w:rPr>
        <w:t>Vgs</w:t>
      </w:r>
      <w:proofErr w:type="spellEnd"/>
      <w:r w:rsidRPr="00A55220">
        <w:rPr>
          <w:rFonts w:asciiTheme="majorBidi" w:hAnsiTheme="majorBidi" w:cstheme="majorBidi"/>
          <w:sz w:val="24"/>
        </w:rPr>
        <w:t xml:space="preserve"> = </w:t>
      </w:r>
      <w:proofErr w:type="spellStart"/>
      <w:r w:rsidRPr="00A55220">
        <w:rPr>
          <w:rFonts w:asciiTheme="majorBidi" w:hAnsiTheme="majorBidi" w:cstheme="majorBidi"/>
          <w:sz w:val="24"/>
        </w:rPr>
        <w:t>Vp</w:t>
      </w:r>
      <w:proofErr w:type="spellEnd"/>
      <w:r w:rsidRPr="00A55220">
        <w:rPr>
          <w:rFonts w:asciiTheme="majorBidi" w:hAnsiTheme="majorBidi" w:cstheme="majorBidi"/>
          <w:sz w:val="24"/>
        </w:rPr>
        <w:t xml:space="preserve"> (tension de pincement), la zone de charge d’espace occupe la totalité du canal. La résistance entre drain et source devient très élevée.</w:t>
      </w:r>
    </w:p>
    <w:p w:rsidR="00CC019A" w:rsidRPr="00A55220" w:rsidRDefault="00CC019A" w:rsidP="004C49EF">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 xml:space="preserve">Pour une tension Vds non nulle et une tension </w:t>
      </w:r>
      <w:proofErr w:type="spellStart"/>
      <w:r w:rsidRPr="00A55220">
        <w:rPr>
          <w:rFonts w:asciiTheme="majorBidi" w:hAnsiTheme="majorBidi" w:cstheme="majorBidi"/>
          <w:sz w:val="24"/>
        </w:rPr>
        <w:t>Vgs</w:t>
      </w:r>
      <w:proofErr w:type="spellEnd"/>
      <w:r w:rsidRPr="00A55220">
        <w:rPr>
          <w:rFonts w:asciiTheme="majorBidi" w:hAnsiTheme="majorBidi" w:cstheme="majorBidi"/>
          <w:sz w:val="24"/>
        </w:rPr>
        <w:t xml:space="preserve"> négative, on a un canal conducteur. Un courant </w:t>
      </w:r>
      <w:proofErr w:type="spellStart"/>
      <w:r w:rsidRPr="00A55220">
        <w:rPr>
          <w:rFonts w:asciiTheme="majorBidi" w:hAnsiTheme="majorBidi" w:cstheme="majorBidi"/>
          <w:sz w:val="24"/>
        </w:rPr>
        <w:t>Ids</w:t>
      </w:r>
      <w:proofErr w:type="spellEnd"/>
      <w:r w:rsidRPr="00A55220">
        <w:rPr>
          <w:rFonts w:asciiTheme="majorBidi" w:hAnsiTheme="majorBidi" w:cstheme="majorBidi"/>
          <w:sz w:val="24"/>
        </w:rPr>
        <w:t xml:space="preserve"> circule entre le drain et la source. Si Vds devient de plus en plus positive, le champ électrique à travers le canal augmente ainsi que la vitesse des électrons. La distribution de tension à travers le canal aura pour conséquence une différence de potentiel entre la grille et le canal sur la longueur de celui-ci. Ceci explique la différence observée pour la profondeur de la zone de désertion le long du canal, qui augmente vers le drain Figure </w:t>
      </w:r>
      <w:r w:rsidR="004C49EF" w:rsidRPr="00A55220">
        <w:rPr>
          <w:rFonts w:asciiTheme="majorBidi" w:hAnsiTheme="majorBidi" w:cstheme="majorBidi"/>
          <w:sz w:val="24"/>
        </w:rPr>
        <w:t>I</w:t>
      </w:r>
      <w:r w:rsidRPr="00A55220">
        <w:rPr>
          <w:rFonts w:asciiTheme="majorBidi" w:hAnsiTheme="majorBidi" w:cstheme="majorBidi"/>
          <w:sz w:val="24"/>
        </w:rPr>
        <w:t>.5.</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lastRenderedPageBreak/>
        <w:t xml:space="preserve">Si la tension Vds atteint la valeur </w:t>
      </w:r>
      <w:proofErr w:type="spellStart"/>
      <w:r w:rsidRPr="00A55220">
        <w:rPr>
          <w:rFonts w:asciiTheme="majorBidi" w:hAnsiTheme="majorBidi" w:cstheme="majorBidi"/>
          <w:sz w:val="24"/>
        </w:rPr>
        <w:t>Vdsat</w:t>
      </w:r>
      <w:proofErr w:type="spellEnd"/>
      <w:r w:rsidRPr="00A55220">
        <w:rPr>
          <w:rFonts w:asciiTheme="majorBidi" w:hAnsiTheme="majorBidi" w:cstheme="majorBidi"/>
          <w:sz w:val="24"/>
        </w:rPr>
        <w:t xml:space="preserve"> (tension de saturation), le régime de pincement apparaît. Le courant </w:t>
      </w:r>
      <w:proofErr w:type="spellStart"/>
      <w:r w:rsidRPr="00A55220">
        <w:rPr>
          <w:rFonts w:asciiTheme="majorBidi" w:hAnsiTheme="majorBidi" w:cstheme="majorBidi"/>
          <w:sz w:val="24"/>
        </w:rPr>
        <w:t>Ids</w:t>
      </w:r>
      <w:proofErr w:type="spellEnd"/>
      <w:r w:rsidRPr="00A55220">
        <w:rPr>
          <w:rFonts w:asciiTheme="majorBidi" w:hAnsiTheme="majorBidi" w:cstheme="majorBidi"/>
          <w:sz w:val="24"/>
        </w:rPr>
        <w:t xml:space="preserve"> atteint sa valeur de saturation. L'augmentation de la tension Vds au-delà de </w:t>
      </w:r>
      <w:proofErr w:type="spellStart"/>
      <w:r w:rsidRPr="00A55220">
        <w:rPr>
          <w:rFonts w:asciiTheme="majorBidi" w:hAnsiTheme="majorBidi" w:cstheme="majorBidi"/>
          <w:sz w:val="24"/>
        </w:rPr>
        <w:t>Vdsat</w:t>
      </w:r>
      <w:proofErr w:type="spellEnd"/>
      <w:r w:rsidRPr="00A55220">
        <w:rPr>
          <w:rFonts w:asciiTheme="majorBidi" w:hAnsiTheme="majorBidi" w:cstheme="majorBidi"/>
          <w:sz w:val="24"/>
        </w:rPr>
        <w:t xml:space="preserve"> n'affecte pas l'évolution du courant </w:t>
      </w:r>
      <w:proofErr w:type="spellStart"/>
      <w:r w:rsidRPr="00A55220">
        <w:rPr>
          <w:rFonts w:asciiTheme="majorBidi" w:hAnsiTheme="majorBidi" w:cstheme="majorBidi"/>
          <w:sz w:val="24"/>
        </w:rPr>
        <w:t>Ids</w:t>
      </w:r>
      <w:proofErr w:type="spellEnd"/>
      <w:r w:rsidRPr="00A55220">
        <w:rPr>
          <w:rFonts w:asciiTheme="majorBidi" w:hAnsiTheme="majorBidi" w:cstheme="majorBidi"/>
          <w:sz w:val="24"/>
        </w:rPr>
        <w:t xml:space="preserve"> qui garde une valeur relativement constante [6</w:t>
      </w:r>
      <w:proofErr w:type="gramStart"/>
      <w:r w:rsidRPr="00A55220">
        <w:rPr>
          <w:rFonts w:asciiTheme="majorBidi" w:hAnsiTheme="majorBidi" w:cstheme="majorBidi"/>
          <w:sz w:val="24"/>
        </w:rPr>
        <w:t>][</w:t>
      </w:r>
      <w:proofErr w:type="gramEnd"/>
      <w:r w:rsidRPr="00A55220">
        <w:rPr>
          <w:rFonts w:asciiTheme="majorBidi" w:hAnsiTheme="majorBidi" w:cstheme="majorBidi"/>
          <w:sz w:val="24"/>
        </w:rPr>
        <w:t>1].</w:t>
      </w:r>
    </w:p>
    <w:p w:rsidR="00CC019A" w:rsidRPr="00A55220" w:rsidRDefault="00CC019A" w:rsidP="00CC019A">
      <w:pPr>
        <w:autoSpaceDE w:val="0"/>
        <w:autoSpaceDN w:val="0"/>
        <w:spacing w:line="360" w:lineRule="auto"/>
        <w:rPr>
          <w:rFonts w:asciiTheme="majorBidi" w:hAnsiTheme="majorBidi" w:cstheme="majorBidi"/>
          <w:sz w:val="24"/>
        </w:rPr>
      </w:pPr>
    </w:p>
    <w:p w:rsidR="00CC019A" w:rsidRPr="00A55220" w:rsidRDefault="00CC019A" w:rsidP="00CC019A">
      <w:pPr>
        <w:autoSpaceDE w:val="0"/>
        <w:autoSpaceDN w:val="0"/>
        <w:spacing w:line="360" w:lineRule="auto"/>
        <w:jc w:val="center"/>
        <w:rPr>
          <w:rFonts w:asciiTheme="majorBidi" w:hAnsiTheme="majorBidi" w:cstheme="majorBidi"/>
          <w:sz w:val="24"/>
        </w:rPr>
      </w:pPr>
      <w:r w:rsidRPr="00A55220">
        <w:rPr>
          <w:rFonts w:asciiTheme="majorBidi" w:hAnsiTheme="majorBidi" w:cstheme="majorBidi"/>
          <w:noProof/>
          <w:sz w:val="24"/>
        </w:rPr>
        <w:drawing>
          <wp:inline distT="0" distB="0" distL="0" distR="0">
            <wp:extent cx="5398770" cy="2209165"/>
            <wp:effectExtent l="19050" t="0" r="0" b="0"/>
            <wp:docPr id="5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srcRect/>
                    <a:stretch>
                      <a:fillRect/>
                    </a:stretch>
                  </pic:blipFill>
                  <pic:spPr bwMode="auto">
                    <a:xfrm>
                      <a:off x="0" y="0"/>
                      <a:ext cx="5398770" cy="2209165"/>
                    </a:xfrm>
                    <a:prstGeom prst="rect">
                      <a:avLst/>
                    </a:prstGeom>
                    <a:noFill/>
                    <a:ln w="9525">
                      <a:noFill/>
                      <a:miter lim="800000"/>
                      <a:headEnd/>
                      <a:tailEnd/>
                    </a:ln>
                  </pic:spPr>
                </pic:pic>
              </a:graphicData>
            </a:graphic>
          </wp:inline>
        </w:drawing>
      </w:r>
    </w:p>
    <w:p w:rsidR="00CC019A" w:rsidRPr="00A55220" w:rsidRDefault="00CC019A" w:rsidP="004C49EF">
      <w:pPr>
        <w:pStyle w:val="Lgende"/>
        <w:jc w:val="center"/>
        <w:rPr>
          <w:rFonts w:cstheme="majorBidi"/>
          <w:b w:val="0"/>
          <w:bCs w:val="0"/>
          <w:szCs w:val="22"/>
        </w:rPr>
      </w:pPr>
      <w:r w:rsidRPr="00A55220">
        <w:rPr>
          <w:rFonts w:cstheme="majorBidi"/>
          <w:szCs w:val="22"/>
        </w:rPr>
        <w:t>Fig</w:t>
      </w:r>
      <w:r w:rsidR="004C49EF" w:rsidRPr="00A55220">
        <w:rPr>
          <w:rFonts w:cstheme="majorBidi"/>
          <w:szCs w:val="22"/>
        </w:rPr>
        <w:t>. I</w:t>
      </w:r>
      <w:r w:rsidRPr="00A55220">
        <w:rPr>
          <w:rFonts w:cstheme="majorBidi"/>
          <w:szCs w:val="22"/>
        </w:rPr>
        <w:t xml:space="preserve">.5. </w:t>
      </w:r>
      <w:r w:rsidRPr="00A55220">
        <w:rPr>
          <w:rFonts w:cstheme="majorBidi"/>
          <w:b w:val="0"/>
          <w:bCs w:val="0"/>
          <w:szCs w:val="22"/>
        </w:rPr>
        <w:t>Comportement du JFET en fonction de VD pour VG &lt;0</w:t>
      </w:r>
    </w:p>
    <w:p w:rsidR="00CC019A" w:rsidRPr="00A55220" w:rsidRDefault="004C49EF" w:rsidP="00CC019A">
      <w:pPr>
        <w:pStyle w:val="Titre4"/>
        <w:spacing w:before="120"/>
        <w:rPr>
          <w:rFonts w:asciiTheme="majorBidi" w:hAnsiTheme="majorBidi" w:cstheme="majorBidi"/>
          <w:szCs w:val="24"/>
        </w:rPr>
      </w:pPr>
      <w:bookmarkStart w:id="27" w:name="_Toc418546457"/>
      <w:bookmarkStart w:id="28" w:name="_Toc418550264"/>
      <w:r w:rsidRPr="00A55220">
        <w:rPr>
          <w:rFonts w:asciiTheme="majorBidi" w:hAnsiTheme="majorBidi" w:cstheme="majorBidi"/>
          <w:szCs w:val="24"/>
        </w:rPr>
        <w:t xml:space="preserve">I.5.3. </w:t>
      </w:r>
      <w:r w:rsidR="00CC019A" w:rsidRPr="00A55220">
        <w:rPr>
          <w:rFonts w:asciiTheme="majorBidi" w:hAnsiTheme="majorBidi" w:cstheme="majorBidi"/>
          <w:szCs w:val="24"/>
        </w:rPr>
        <w:t>Contraintes et Domaines D’utilisation</w:t>
      </w:r>
      <w:bookmarkEnd w:id="27"/>
      <w:bookmarkEnd w:id="28"/>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La forte impédance d’entrée des JFET (plusieurs dizaines, voire centaines de mégohms) associée à un faible bruit propre, rend ces transistors particulièrement bien adaptés à l’amplification des faibles signaux sous forte impédance.</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En commutation, ils présentent par rapport aux transistors bipolaires certains avantages, comme un gain en puissance plus élevé et une impédance d’entrée aux faibles fréquences beaucoup plus forte, ce qui permet de réaliser de grandes constantes de temps avec des capacités assez faibles (réalisation de monostables ou d’astables) [6].</w:t>
      </w:r>
    </w:p>
    <w:p w:rsidR="00CC019A" w:rsidRPr="00A55220" w:rsidRDefault="004C49EF" w:rsidP="00A55220">
      <w:pPr>
        <w:pStyle w:val="Titre3"/>
        <w:spacing w:before="120"/>
        <w:rPr>
          <w:rFonts w:asciiTheme="majorBidi" w:hAnsiTheme="majorBidi" w:cstheme="majorBidi"/>
          <w:sz w:val="28"/>
          <w:szCs w:val="28"/>
        </w:rPr>
      </w:pPr>
      <w:bookmarkStart w:id="29" w:name="_Toc418546458"/>
      <w:bookmarkStart w:id="30" w:name="_Toc418550265"/>
      <w:r w:rsidRPr="00A55220">
        <w:rPr>
          <w:rFonts w:asciiTheme="majorBidi" w:hAnsiTheme="majorBidi" w:cstheme="majorBidi"/>
          <w:sz w:val="28"/>
          <w:szCs w:val="28"/>
        </w:rPr>
        <w:t xml:space="preserve">I.6. </w:t>
      </w:r>
      <w:r w:rsidR="00CC019A" w:rsidRPr="00A55220">
        <w:rPr>
          <w:rFonts w:asciiTheme="majorBidi" w:hAnsiTheme="majorBidi" w:cstheme="majorBidi"/>
          <w:sz w:val="28"/>
          <w:szCs w:val="28"/>
        </w:rPr>
        <w:t>Le transistor à Effet de Champ A Grille Isolée (MOSFET)</w:t>
      </w:r>
      <w:bookmarkEnd w:id="29"/>
      <w:bookmarkEnd w:id="30"/>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Le principe de fonctionnement du transistor (MOSFET) métal oxyde semi-conducteurs à effet de champ a été décrit pour la première fois par </w:t>
      </w:r>
      <w:proofErr w:type="spellStart"/>
      <w:r w:rsidRPr="00A55220">
        <w:rPr>
          <w:rFonts w:asciiTheme="majorBidi" w:hAnsiTheme="majorBidi" w:cstheme="majorBidi"/>
          <w:sz w:val="24"/>
        </w:rPr>
        <w:t>Lilienfield</w:t>
      </w:r>
      <w:proofErr w:type="spellEnd"/>
      <w:r w:rsidRPr="00A55220">
        <w:rPr>
          <w:rFonts w:asciiTheme="majorBidi" w:hAnsiTheme="majorBidi" w:cstheme="majorBidi"/>
          <w:sz w:val="24"/>
        </w:rPr>
        <w:t xml:space="preserve"> en 1930 [7]. En décembre 1947, John Bardeen et Walter H. Brattain réalisaient le premier transistor en germanium [8]. </w:t>
      </w:r>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Avec William B. </w:t>
      </w:r>
      <w:proofErr w:type="spellStart"/>
      <w:r w:rsidRPr="00A55220">
        <w:rPr>
          <w:rFonts w:asciiTheme="majorBidi" w:hAnsiTheme="majorBidi" w:cstheme="majorBidi"/>
          <w:sz w:val="24"/>
        </w:rPr>
        <w:t>Shockley</w:t>
      </w:r>
      <w:proofErr w:type="spellEnd"/>
      <w:r w:rsidRPr="00A55220">
        <w:rPr>
          <w:rFonts w:asciiTheme="majorBidi" w:hAnsiTheme="majorBidi" w:cstheme="majorBidi"/>
          <w:sz w:val="24"/>
        </w:rPr>
        <w:t xml:space="preserve"> le transistor à jonction et la théorie associée sont développées aux Bell Laboratoires en 1951. En 1958, Jack </w:t>
      </w:r>
      <w:proofErr w:type="spellStart"/>
      <w:r w:rsidRPr="00A55220">
        <w:rPr>
          <w:rFonts w:asciiTheme="majorBidi" w:hAnsiTheme="majorBidi" w:cstheme="majorBidi"/>
          <w:sz w:val="24"/>
        </w:rPr>
        <w:t>Kilby</w:t>
      </w:r>
      <w:proofErr w:type="spellEnd"/>
      <w:r w:rsidRPr="00A55220">
        <w:rPr>
          <w:rFonts w:asciiTheme="majorBidi" w:hAnsiTheme="majorBidi" w:cstheme="majorBidi"/>
          <w:sz w:val="24"/>
        </w:rPr>
        <w:t xml:space="preserve"> invente le circuit intégré en fabriquant cinq composants sur le même substrat [8]. C’est en 1960 que </w:t>
      </w:r>
      <w:proofErr w:type="spellStart"/>
      <w:r w:rsidRPr="00A55220">
        <w:rPr>
          <w:rFonts w:asciiTheme="majorBidi" w:hAnsiTheme="majorBidi" w:cstheme="majorBidi"/>
          <w:sz w:val="24"/>
        </w:rPr>
        <w:t>Kahng</w:t>
      </w:r>
      <w:proofErr w:type="spellEnd"/>
      <w:r w:rsidRPr="00A55220">
        <w:rPr>
          <w:rFonts w:asciiTheme="majorBidi" w:hAnsiTheme="majorBidi" w:cstheme="majorBidi"/>
          <w:sz w:val="24"/>
        </w:rPr>
        <w:t xml:space="preserve"> et </w:t>
      </w:r>
      <w:proofErr w:type="spellStart"/>
      <w:r w:rsidRPr="00A55220">
        <w:rPr>
          <w:rFonts w:asciiTheme="majorBidi" w:hAnsiTheme="majorBidi" w:cstheme="majorBidi"/>
          <w:sz w:val="24"/>
        </w:rPr>
        <w:t>Attala</w:t>
      </w:r>
      <w:proofErr w:type="spellEnd"/>
      <w:r w:rsidRPr="00A55220">
        <w:rPr>
          <w:rFonts w:asciiTheme="majorBidi" w:hAnsiTheme="majorBidi" w:cstheme="majorBidi"/>
          <w:sz w:val="24"/>
        </w:rPr>
        <w:t xml:space="preserve"> ont présenté le premier transistor MOS sur Silicium qui reste aujourd’hui le semi-conducteur généralement le plus utilisé, vu la qualité inégalée de l’interface créait par le silicium et l’oxyde de silicium </w:t>
      </w:r>
      <w:r w:rsidRPr="00A55220">
        <w:rPr>
          <w:rFonts w:asciiTheme="majorBidi" w:hAnsiTheme="majorBidi" w:cstheme="majorBidi"/>
          <w:sz w:val="24"/>
        </w:rPr>
        <w:lastRenderedPageBreak/>
        <w:t>(SiO2), qui sert d’isolant. Peu après, l'élaboration de la technologie CMOS assura le futur commercial et technologique du MOSFET en électronique intégrée (mémoires, microprocesseurs, circuits logiques) grâce à une géométrie simple et une consommation pouvant être très faible.</w:t>
      </w:r>
    </w:p>
    <w:p w:rsidR="00CC019A" w:rsidRPr="00A55220" w:rsidRDefault="004C49EF" w:rsidP="00CC019A">
      <w:pPr>
        <w:pStyle w:val="Titre4"/>
        <w:spacing w:before="120"/>
        <w:rPr>
          <w:rFonts w:asciiTheme="majorBidi" w:hAnsiTheme="majorBidi" w:cstheme="majorBidi"/>
          <w:szCs w:val="24"/>
        </w:rPr>
      </w:pPr>
      <w:bookmarkStart w:id="31" w:name="_Toc418546459"/>
      <w:bookmarkStart w:id="32" w:name="_Toc418550266"/>
      <w:r w:rsidRPr="00A55220">
        <w:rPr>
          <w:rFonts w:asciiTheme="majorBidi" w:hAnsiTheme="majorBidi" w:cstheme="majorBidi"/>
          <w:szCs w:val="24"/>
        </w:rPr>
        <w:t xml:space="preserve">I.6.1. </w:t>
      </w:r>
      <w:r w:rsidR="00CC019A" w:rsidRPr="00A55220">
        <w:rPr>
          <w:rFonts w:asciiTheme="majorBidi" w:hAnsiTheme="majorBidi" w:cstheme="majorBidi"/>
          <w:szCs w:val="24"/>
        </w:rPr>
        <w:t>Structure et Description</w:t>
      </w:r>
      <w:bookmarkEnd w:id="31"/>
      <w:bookmarkEnd w:id="32"/>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Le MOSFET, acronyme anglais de Métal </w:t>
      </w:r>
      <w:proofErr w:type="spellStart"/>
      <w:r w:rsidRPr="00A55220">
        <w:rPr>
          <w:rFonts w:asciiTheme="majorBidi" w:hAnsiTheme="majorBidi" w:cstheme="majorBidi"/>
          <w:sz w:val="24"/>
        </w:rPr>
        <w:t>Oxide</w:t>
      </w:r>
      <w:proofErr w:type="spellEnd"/>
      <w:r w:rsidRPr="00A55220">
        <w:rPr>
          <w:rFonts w:asciiTheme="majorBidi" w:hAnsiTheme="majorBidi" w:cstheme="majorBidi"/>
          <w:sz w:val="24"/>
        </w:rPr>
        <w:t xml:space="preserve"> Semi-conducteur Field </w:t>
      </w:r>
      <w:proofErr w:type="spellStart"/>
      <w:r w:rsidRPr="00A55220">
        <w:rPr>
          <w:rFonts w:asciiTheme="majorBidi" w:hAnsiTheme="majorBidi" w:cstheme="majorBidi"/>
          <w:sz w:val="24"/>
        </w:rPr>
        <w:t>Effect</w:t>
      </w:r>
      <w:proofErr w:type="spellEnd"/>
      <w:r w:rsidRPr="00A55220">
        <w:rPr>
          <w:rFonts w:asciiTheme="majorBidi" w:hAnsiTheme="majorBidi" w:cstheme="majorBidi"/>
          <w:sz w:val="24"/>
        </w:rPr>
        <w:t xml:space="preserve"> Transistor, en français Transistor à Effet de Champ (à grille) Métal-Oxyde, Comme tous les transistors ou même les tubes à vide, le MOSFET module le courant qui le traverse à l'aide d'un signal appliqué à son électrode d'entrée ou grille. La structure du transistor MOSFET comprend un isolant (silice SiO2), deux îlots, de type opposé à celui du substrat, la source et le drain, délimitent la région active du dispositif qui se situe précisément sous l’électrode de grille. L'intensité du courant circulant entre la source et le drain est commandée par la tension entre la grille et le substrat. Très souvent les électrodes de source et de substrat sont électriquement reliées [7</w:t>
      </w:r>
      <w:proofErr w:type="gramStart"/>
      <w:r w:rsidRPr="00A55220">
        <w:rPr>
          <w:rFonts w:asciiTheme="majorBidi" w:hAnsiTheme="majorBidi" w:cstheme="majorBidi"/>
          <w:sz w:val="24"/>
        </w:rPr>
        <w:t>][</w:t>
      </w:r>
      <w:proofErr w:type="gramEnd"/>
      <w:r w:rsidRPr="00A55220">
        <w:rPr>
          <w:rFonts w:asciiTheme="majorBidi" w:hAnsiTheme="majorBidi" w:cstheme="majorBidi"/>
          <w:sz w:val="24"/>
        </w:rPr>
        <w:t>8].</w:t>
      </w:r>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Les deux types fondamentaux du MOSFET sont les MOSFET à appauvrissement D-MOSFET, et les MOSFET à enrichissement E-MOSFET. Dans chaque type de MOSFET, on peut distinguer le MOSFET canal N (le courant provient du déplacement d'électrons) et le MOSFET canal P (le courant provient du déplacement des trous). Les transistors MOS à enrichissement sont bloqués sans tension de commande sur la grille (NORMALLY OFF), ils deviennent passants à partir d'une certaine tension de grille V</w:t>
      </w:r>
      <w:r w:rsidRPr="00A55220">
        <w:rPr>
          <w:rFonts w:asciiTheme="majorBidi" w:hAnsiTheme="majorBidi" w:cstheme="majorBidi"/>
          <w:i/>
          <w:iCs/>
          <w:sz w:val="24"/>
        </w:rPr>
        <w:t>TH</w:t>
      </w:r>
      <w:r w:rsidRPr="00A55220">
        <w:rPr>
          <w:rFonts w:asciiTheme="majorBidi" w:hAnsiTheme="majorBidi" w:cstheme="majorBidi"/>
          <w:sz w:val="24"/>
        </w:rPr>
        <w:t>. Plus |V</w:t>
      </w:r>
      <w:r w:rsidRPr="00A55220">
        <w:rPr>
          <w:rFonts w:asciiTheme="majorBidi" w:hAnsiTheme="majorBidi" w:cstheme="majorBidi"/>
          <w:i/>
          <w:iCs/>
          <w:sz w:val="24"/>
        </w:rPr>
        <w:t>GS</w:t>
      </w:r>
      <w:r w:rsidRPr="00A55220">
        <w:rPr>
          <w:rFonts w:asciiTheme="majorBidi" w:hAnsiTheme="majorBidi" w:cstheme="majorBidi"/>
          <w:sz w:val="24"/>
        </w:rPr>
        <w:t>|&gt; |V</w:t>
      </w:r>
      <w:r w:rsidRPr="00A55220">
        <w:rPr>
          <w:rFonts w:asciiTheme="majorBidi" w:hAnsiTheme="majorBidi" w:cstheme="majorBidi"/>
          <w:i/>
          <w:iCs/>
          <w:sz w:val="24"/>
        </w:rPr>
        <w:t>TH</w:t>
      </w:r>
      <w:r w:rsidRPr="00A55220">
        <w:rPr>
          <w:rFonts w:asciiTheme="majorBidi" w:hAnsiTheme="majorBidi" w:cstheme="majorBidi"/>
          <w:sz w:val="24"/>
        </w:rPr>
        <w:t xml:space="preserve">|, plus le E-MOS devient passant. Les transistors MOS à appauvrissement sont passants sans tension de commande sur la grille (NORMALLY ON), ils deviennent de moins en moins conducteurs au fur et à mesure que la tension de commande augmente pour finalement se bloquer au delà d'une tension de blocage </w:t>
      </w:r>
      <w:proofErr w:type="spellStart"/>
      <w:r w:rsidRPr="00A55220">
        <w:rPr>
          <w:rFonts w:asciiTheme="majorBidi" w:hAnsiTheme="majorBidi" w:cstheme="majorBidi"/>
          <w:sz w:val="24"/>
        </w:rPr>
        <w:t>VGSof</w:t>
      </w:r>
      <w:proofErr w:type="spellEnd"/>
      <w:r w:rsidRPr="00A55220">
        <w:rPr>
          <w:rFonts w:asciiTheme="majorBidi" w:hAnsiTheme="majorBidi" w:cstheme="majorBidi"/>
          <w:sz w:val="24"/>
        </w:rPr>
        <w:t xml:space="preserve"> [8].</w:t>
      </w:r>
    </w:p>
    <w:p w:rsidR="00CC019A" w:rsidRPr="00A55220" w:rsidRDefault="00CC019A" w:rsidP="00CC019A">
      <w:pPr>
        <w:autoSpaceDE w:val="0"/>
        <w:autoSpaceDN w:val="0"/>
        <w:spacing w:line="360" w:lineRule="auto"/>
        <w:ind w:firstLine="426"/>
        <w:rPr>
          <w:rFonts w:asciiTheme="majorBidi" w:hAnsiTheme="majorBidi" w:cstheme="majorBidi"/>
          <w:sz w:val="24"/>
        </w:rPr>
      </w:pPr>
    </w:p>
    <w:p w:rsidR="00CC019A" w:rsidRPr="00A55220" w:rsidRDefault="00FC6B78" w:rsidP="00CC019A">
      <w:pPr>
        <w:autoSpaceDE w:val="0"/>
        <w:autoSpaceDN w:val="0"/>
        <w:spacing w:line="360" w:lineRule="auto"/>
        <w:rPr>
          <w:rFonts w:asciiTheme="majorBidi" w:hAnsiTheme="majorBidi" w:cstheme="majorBidi"/>
          <w:sz w:val="24"/>
        </w:rPr>
      </w:pPr>
      <w:r>
        <w:rPr>
          <w:rFonts w:asciiTheme="majorBidi" w:hAnsiTheme="majorBidi" w:cstheme="majorBidi"/>
          <w:noProof/>
          <w:sz w:val="24"/>
        </w:rPr>
        <w:drawing>
          <wp:anchor distT="0" distB="0" distL="114300" distR="114300" simplePos="0" relativeHeight="251660288" behindDoc="0" locked="0" layoutInCell="1" allowOverlap="1">
            <wp:simplePos x="0" y="0"/>
            <wp:positionH relativeFrom="margin">
              <wp:posOffset>3138805</wp:posOffset>
            </wp:positionH>
            <wp:positionV relativeFrom="margin">
              <wp:posOffset>6786245</wp:posOffset>
            </wp:positionV>
            <wp:extent cx="2551430" cy="1431925"/>
            <wp:effectExtent l="19050" t="0" r="1270" b="0"/>
            <wp:wrapSquare wrapText="bothSides"/>
            <wp:docPr id="5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srcRect/>
                    <a:stretch>
                      <a:fillRect/>
                    </a:stretch>
                  </pic:blipFill>
                  <pic:spPr bwMode="auto">
                    <a:xfrm>
                      <a:off x="0" y="0"/>
                      <a:ext cx="2551430" cy="1431925"/>
                    </a:xfrm>
                    <a:prstGeom prst="rect">
                      <a:avLst/>
                    </a:prstGeom>
                    <a:noFill/>
                    <a:ln w="9525">
                      <a:noFill/>
                      <a:miter lim="800000"/>
                      <a:headEnd/>
                      <a:tailEnd/>
                    </a:ln>
                  </pic:spPr>
                </pic:pic>
              </a:graphicData>
            </a:graphic>
          </wp:anchor>
        </w:drawing>
      </w:r>
      <w:r w:rsidR="00CC019A" w:rsidRPr="00A55220">
        <w:rPr>
          <w:rFonts w:asciiTheme="majorBidi" w:hAnsiTheme="majorBidi" w:cstheme="majorBidi"/>
          <w:noProof/>
          <w:sz w:val="24"/>
        </w:rPr>
        <w:drawing>
          <wp:inline distT="0" distB="0" distL="0" distR="0">
            <wp:extent cx="2556000" cy="1423624"/>
            <wp:effectExtent l="19050" t="0" r="0" b="0"/>
            <wp:docPr id="5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2556000" cy="1423624"/>
                    </a:xfrm>
                    <a:prstGeom prst="rect">
                      <a:avLst/>
                    </a:prstGeom>
                    <a:noFill/>
                    <a:ln w="9525">
                      <a:noFill/>
                      <a:miter lim="800000"/>
                      <a:headEnd/>
                      <a:tailEnd/>
                    </a:ln>
                  </pic:spPr>
                </pic:pic>
              </a:graphicData>
            </a:graphic>
          </wp:inline>
        </w:drawing>
      </w:r>
    </w:p>
    <w:p w:rsidR="00CC019A" w:rsidRPr="00A55220" w:rsidRDefault="00BC7ADE" w:rsidP="00CC019A">
      <w:pPr>
        <w:autoSpaceDE w:val="0"/>
        <w:autoSpaceDN w:val="0"/>
        <w:spacing w:line="360" w:lineRule="auto"/>
        <w:rPr>
          <w:rFonts w:asciiTheme="majorBidi" w:hAnsiTheme="majorBidi" w:cstheme="majorBidi"/>
          <w:b/>
          <w:bCs/>
          <w:i/>
          <w:iCs/>
          <w:sz w:val="24"/>
        </w:rPr>
      </w:pPr>
      <w:r>
        <w:rPr>
          <w:rFonts w:asciiTheme="majorBidi" w:hAnsiTheme="majorBidi" w:cstheme="majorBidi"/>
          <w:b/>
          <w:bCs/>
          <w:i/>
          <w:iCs/>
          <w:noProof/>
          <w:sz w:val="24"/>
          <w:lang w:eastAsia="en-US"/>
        </w:rPr>
        <w:pict>
          <v:shape id="_x0000_s1031" type="#_x0000_t202" style="position:absolute;left:0;text-align:left;margin-left:12.3pt;margin-top:3.5pt;width:180.6pt;height:53.65pt;z-index:251661312;mso-width-percent:400;mso-width-percent:400;mso-width-relative:margin;mso-height-relative:margin" strokecolor="white [3212]">
            <v:textbox>
              <w:txbxContent>
                <w:p w:rsidR="00CC019A" w:rsidRPr="00F804E9" w:rsidRDefault="00CC019A" w:rsidP="004C49EF">
                  <w:pPr>
                    <w:pStyle w:val="Lgende"/>
                    <w:jc w:val="center"/>
                    <w:rPr>
                      <w:b w:val="0"/>
                      <w:bCs w:val="0"/>
                    </w:rPr>
                  </w:pPr>
                  <w:r w:rsidRPr="00C9654D">
                    <w:t>Fig</w:t>
                  </w:r>
                  <w:r w:rsidR="004C49EF">
                    <w:t>. I</w:t>
                  </w:r>
                  <w:r w:rsidRPr="00C25952">
                    <w:rPr>
                      <w:rStyle w:val="Titre3Car"/>
                      <w:b/>
                      <w:iCs w:val="0"/>
                    </w:rPr>
                    <w:t>.6</w:t>
                  </w:r>
                  <w:r w:rsidRPr="00C9654D">
                    <w:rPr>
                      <w:rStyle w:val="Titre3Car"/>
                      <w:bCs w:val="0"/>
                      <w:iCs w:val="0"/>
                    </w:rPr>
                    <w:t>.</w:t>
                  </w:r>
                  <w:r w:rsidRPr="00F804E9">
                    <w:rPr>
                      <w:b w:val="0"/>
                      <w:bCs w:val="0"/>
                    </w:rPr>
                    <w:t xml:space="preserve"> Structure du MOS</w:t>
                  </w:r>
                </w:p>
                <w:p w:rsidR="00CC019A" w:rsidRPr="00F804E9" w:rsidRDefault="00CC019A" w:rsidP="00CC019A">
                  <w:pPr>
                    <w:pStyle w:val="Lgende"/>
                    <w:jc w:val="center"/>
                    <w:rPr>
                      <w:b w:val="0"/>
                      <w:bCs w:val="0"/>
                    </w:rPr>
                  </w:pPr>
                  <w:proofErr w:type="gramStart"/>
                  <w:r>
                    <w:rPr>
                      <w:b w:val="0"/>
                      <w:bCs w:val="0"/>
                    </w:rPr>
                    <w:t>à</w:t>
                  </w:r>
                  <w:proofErr w:type="gramEnd"/>
                  <w:r>
                    <w:rPr>
                      <w:b w:val="0"/>
                      <w:bCs w:val="0"/>
                    </w:rPr>
                    <w:t xml:space="preserve"> enrichissement canal N </w:t>
                  </w:r>
                </w:p>
              </w:txbxContent>
            </v:textbox>
          </v:shape>
        </w:pict>
      </w:r>
      <w:r>
        <w:rPr>
          <w:rFonts w:asciiTheme="majorBidi" w:hAnsiTheme="majorBidi" w:cstheme="majorBidi"/>
          <w:b/>
          <w:bCs/>
          <w:i/>
          <w:iCs/>
          <w:noProof/>
          <w:sz w:val="24"/>
        </w:rPr>
        <w:pict>
          <v:shape id="_x0000_s1032" type="#_x0000_t202" style="position:absolute;left:0;text-align:left;margin-left:259.2pt;margin-top:9.3pt;width:180.65pt;height:42.7pt;z-index:251662336;mso-width-percent:400;mso-width-percent:400;mso-width-relative:margin;mso-height-relative:margin" fillcolor="white [3212]" strokecolor="white [3212]">
            <v:textbox>
              <w:txbxContent>
                <w:p w:rsidR="00CC019A" w:rsidRPr="00987C5E" w:rsidRDefault="00CC019A" w:rsidP="004C49EF">
                  <w:pPr>
                    <w:pStyle w:val="Lgende"/>
                    <w:jc w:val="center"/>
                    <w:rPr>
                      <w:b w:val="0"/>
                      <w:bCs w:val="0"/>
                    </w:rPr>
                  </w:pPr>
                  <w:r w:rsidRPr="00F804E9">
                    <w:t>Fig</w:t>
                  </w:r>
                  <w:r w:rsidR="004C49EF">
                    <w:t>. I</w:t>
                  </w:r>
                  <w:r w:rsidRPr="00F804E9">
                    <w:rPr>
                      <w:rFonts w:cstheme="majorBidi"/>
                    </w:rPr>
                    <w:t>.</w:t>
                  </w:r>
                  <w:r w:rsidRPr="00C25952">
                    <w:rPr>
                      <w:rFonts w:cstheme="majorBidi"/>
                    </w:rPr>
                    <w:t>7.</w:t>
                  </w:r>
                  <w:r>
                    <w:rPr>
                      <w:rFonts w:cstheme="majorBidi"/>
                      <w:b w:val="0"/>
                      <w:bCs w:val="0"/>
                    </w:rPr>
                    <w:t xml:space="preserve"> </w:t>
                  </w:r>
                  <w:r w:rsidRPr="00987C5E">
                    <w:rPr>
                      <w:b w:val="0"/>
                      <w:bCs w:val="0"/>
                    </w:rPr>
                    <w:t>Structure du MOS</w:t>
                  </w:r>
                </w:p>
                <w:p w:rsidR="00CC019A" w:rsidRPr="00987C5E" w:rsidRDefault="00CC019A" w:rsidP="00CC019A">
                  <w:pPr>
                    <w:pStyle w:val="Lgende"/>
                    <w:jc w:val="center"/>
                    <w:rPr>
                      <w:b w:val="0"/>
                      <w:bCs w:val="0"/>
                    </w:rPr>
                  </w:pPr>
                  <w:proofErr w:type="gramStart"/>
                  <w:r>
                    <w:rPr>
                      <w:b w:val="0"/>
                      <w:bCs w:val="0"/>
                    </w:rPr>
                    <w:t>à</w:t>
                  </w:r>
                  <w:proofErr w:type="gramEnd"/>
                  <w:r>
                    <w:rPr>
                      <w:b w:val="0"/>
                      <w:bCs w:val="0"/>
                    </w:rPr>
                    <w:t xml:space="preserve"> appauvrissement canal N </w:t>
                  </w:r>
                </w:p>
              </w:txbxContent>
            </v:textbox>
          </v:shape>
        </w:pict>
      </w:r>
    </w:p>
    <w:p w:rsidR="00CC019A" w:rsidRPr="00A55220" w:rsidRDefault="00CC019A" w:rsidP="00CC019A">
      <w:pPr>
        <w:autoSpaceDE w:val="0"/>
        <w:autoSpaceDN w:val="0"/>
        <w:spacing w:line="360" w:lineRule="auto"/>
        <w:rPr>
          <w:rFonts w:asciiTheme="majorBidi" w:hAnsiTheme="majorBidi" w:cstheme="majorBidi"/>
          <w:sz w:val="24"/>
        </w:rPr>
      </w:pPr>
    </w:p>
    <w:p w:rsidR="00CC019A" w:rsidRPr="00A55220" w:rsidRDefault="004C49EF" w:rsidP="00CC019A">
      <w:pPr>
        <w:pStyle w:val="Titre4"/>
        <w:rPr>
          <w:rFonts w:asciiTheme="majorBidi" w:hAnsiTheme="majorBidi" w:cstheme="majorBidi"/>
          <w:szCs w:val="24"/>
        </w:rPr>
      </w:pPr>
      <w:bookmarkStart w:id="33" w:name="_Toc418546460"/>
      <w:bookmarkStart w:id="34" w:name="_Toc418550267"/>
      <w:r w:rsidRPr="00A55220">
        <w:rPr>
          <w:rFonts w:asciiTheme="majorBidi" w:hAnsiTheme="majorBidi" w:cstheme="majorBidi"/>
          <w:szCs w:val="24"/>
        </w:rPr>
        <w:lastRenderedPageBreak/>
        <w:t xml:space="preserve">I.6.2. </w:t>
      </w:r>
      <w:r w:rsidR="00CC019A" w:rsidRPr="00A55220">
        <w:rPr>
          <w:rFonts w:asciiTheme="majorBidi" w:hAnsiTheme="majorBidi" w:cstheme="majorBidi"/>
          <w:szCs w:val="24"/>
        </w:rPr>
        <w:t>Principe de fonctionnement du MOSFET</w:t>
      </w:r>
      <w:bookmarkEnd w:id="33"/>
      <w:bookmarkEnd w:id="34"/>
    </w:p>
    <w:p w:rsidR="00CC019A" w:rsidRPr="00A55220" w:rsidRDefault="00CC019A" w:rsidP="004C49EF">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La figure ci-dessus figure</w:t>
      </w:r>
      <w:r w:rsidR="004C49EF" w:rsidRPr="00A55220">
        <w:rPr>
          <w:rFonts w:asciiTheme="majorBidi" w:hAnsiTheme="majorBidi" w:cstheme="majorBidi"/>
          <w:sz w:val="24"/>
        </w:rPr>
        <w:t xml:space="preserve"> I</w:t>
      </w:r>
      <w:r w:rsidRPr="00A55220">
        <w:rPr>
          <w:rFonts w:asciiTheme="majorBidi" w:hAnsiTheme="majorBidi" w:cstheme="majorBidi"/>
          <w:sz w:val="24"/>
        </w:rPr>
        <w:t>.8 illustre parfaitement le principe d'un transistor MOS à canal N. La source et le drain sont de type N+ (hachures obliques) et la grille est isolée du semi-conducteur par une couche d'oxyde.</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 xml:space="preserve">Lorsque la grille est polarisée positivement elle crée à l'interface diélectrique semi-conducteur une couche dite d'inversion (hachures verticales) comportant un grand nombre d'électrons (porteurs minoritaires de la zone P), dès que </w:t>
      </w:r>
      <w:proofErr w:type="spellStart"/>
      <w:r w:rsidRPr="00A55220">
        <w:rPr>
          <w:rFonts w:asciiTheme="majorBidi" w:hAnsiTheme="majorBidi" w:cstheme="majorBidi"/>
          <w:sz w:val="24"/>
        </w:rPr>
        <w:t>Vgs</w:t>
      </w:r>
      <w:proofErr w:type="spellEnd"/>
      <w:r w:rsidRPr="00A55220">
        <w:rPr>
          <w:rFonts w:asciiTheme="majorBidi" w:hAnsiTheme="majorBidi" w:cstheme="majorBidi"/>
          <w:sz w:val="24"/>
        </w:rPr>
        <w:t xml:space="preserve"> est supérieure à une valeur de seuil V</w:t>
      </w:r>
      <w:r w:rsidRPr="00A55220">
        <w:rPr>
          <w:rFonts w:asciiTheme="majorBidi" w:hAnsiTheme="majorBidi" w:cstheme="majorBidi"/>
          <w:i/>
          <w:iCs/>
          <w:sz w:val="24"/>
        </w:rPr>
        <w:t xml:space="preserve">T </w:t>
      </w:r>
      <w:r w:rsidRPr="00A55220">
        <w:rPr>
          <w:rFonts w:asciiTheme="majorBidi" w:hAnsiTheme="majorBidi" w:cstheme="majorBidi"/>
          <w:sz w:val="24"/>
        </w:rPr>
        <w:t>cette couche est suffisamment importante pour créer un canal conducteur entre les deux zones N+. Mais ceci suppose que le potentiel au drain soit très inférieur à ce seuil. La relation liant I</w:t>
      </w:r>
      <w:r w:rsidRPr="00A55220">
        <w:rPr>
          <w:rFonts w:asciiTheme="majorBidi" w:hAnsiTheme="majorBidi" w:cstheme="majorBidi"/>
          <w:i/>
          <w:iCs/>
          <w:sz w:val="24"/>
        </w:rPr>
        <w:t xml:space="preserve">d </w:t>
      </w:r>
      <w:r w:rsidRPr="00A55220">
        <w:rPr>
          <w:rFonts w:asciiTheme="majorBidi" w:hAnsiTheme="majorBidi" w:cstheme="majorBidi"/>
          <w:sz w:val="24"/>
        </w:rPr>
        <w:t>à Vds est linéaire et le canal se comporte comme une simple résistance [7</w:t>
      </w:r>
      <w:proofErr w:type="gramStart"/>
      <w:r w:rsidRPr="00A55220">
        <w:rPr>
          <w:rFonts w:asciiTheme="majorBidi" w:hAnsiTheme="majorBidi" w:cstheme="majorBidi"/>
          <w:sz w:val="24"/>
        </w:rPr>
        <w:t>][</w:t>
      </w:r>
      <w:proofErr w:type="gramEnd"/>
      <w:r w:rsidRPr="00A55220">
        <w:rPr>
          <w:rFonts w:asciiTheme="majorBidi" w:hAnsiTheme="majorBidi" w:cstheme="majorBidi"/>
          <w:sz w:val="24"/>
        </w:rPr>
        <w:t>8].</w:t>
      </w:r>
    </w:p>
    <w:p w:rsidR="00CC019A" w:rsidRDefault="00CC019A" w:rsidP="00CC019A">
      <w:pPr>
        <w:autoSpaceDE w:val="0"/>
        <w:autoSpaceDN w:val="0"/>
        <w:spacing w:line="360" w:lineRule="auto"/>
        <w:rPr>
          <w:rFonts w:asciiTheme="majorBidi" w:hAnsiTheme="majorBidi" w:cstheme="majorBidi"/>
          <w:sz w:val="24"/>
        </w:rPr>
      </w:pPr>
    </w:p>
    <w:p w:rsidR="00A55220" w:rsidRPr="00A55220" w:rsidRDefault="00A55220" w:rsidP="00CC019A">
      <w:pPr>
        <w:autoSpaceDE w:val="0"/>
        <w:autoSpaceDN w:val="0"/>
        <w:spacing w:line="360" w:lineRule="auto"/>
        <w:rPr>
          <w:rFonts w:asciiTheme="majorBidi" w:hAnsiTheme="majorBidi" w:cstheme="majorBidi"/>
          <w:sz w:val="24"/>
        </w:rPr>
      </w:pPr>
    </w:p>
    <w:p w:rsidR="00CC019A" w:rsidRPr="00A55220" w:rsidRDefault="00CC019A" w:rsidP="00CC019A">
      <w:pPr>
        <w:autoSpaceDE w:val="0"/>
        <w:autoSpaceDN w:val="0"/>
        <w:spacing w:line="360" w:lineRule="auto"/>
        <w:jc w:val="center"/>
        <w:rPr>
          <w:rFonts w:asciiTheme="majorBidi" w:hAnsiTheme="majorBidi" w:cstheme="majorBidi"/>
          <w:sz w:val="24"/>
        </w:rPr>
      </w:pPr>
      <w:r w:rsidRPr="00A55220">
        <w:rPr>
          <w:rFonts w:asciiTheme="majorBidi" w:hAnsiTheme="majorBidi" w:cstheme="majorBidi"/>
          <w:noProof/>
          <w:sz w:val="24"/>
        </w:rPr>
        <w:drawing>
          <wp:inline distT="0" distB="0" distL="0" distR="0">
            <wp:extent cx="3994150" cy="1894840"/>
            <wp:effectExtent l="19050" t="0" r="6350" b="0"/>
            <wp:docPr id="5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3994150" cy="1894840"/>
                    </a:xfrm>
                    <a:prstGeom prst="rect">
                      <a:avLst/>
                    </a:prstGeom>
                    <a:noFill/>
                    <a:ln w="9525">
                      <a:noFill/>
                      <a:miter lim="800000"/>
                      <a:headEnd/>
                      <a:tailEnd/>
                    </a:ln>
                  </pic:spPr>
                </pic:pic>
              </a:graphicData>
            </a:graphic>
          </wp:inline>
        </w:drawing>
      </w:r>
    </w:p>
    <w:p w:rsidR="00CC019A" w:rsidRPr="00A55220" w:rsidRDefault="00CC019A" w:rsidP="004C49EF">
      <w:pPr>
        <w:pStyle w:val="Lgende"/>
        <w:jc w:val="center"/>
        <w:rPr>
          <w:rFonts w:cstheme="majorBidi"/>
          <w:b w:val="0"/>
          <w:bCs w:val="0"/>
          <w:szCs w:val="22"/>
        </w:rPr>
      </w:pPr>
      <w:r w:rsidRPr="00A55220">
        <w:rPr>
          <w:rFonts w:cstheme="majorBidi"/>
          <w:szCs w:val="22"/>
        </w:rPr>
        <w:t>Fig</w:t>
      </w:r>
      <w:r w:rsidR="004C49EF" w:rsidRPr="00A55220">
        <w:rPr>
          <w:rFonts w:cstheme="majorBidi"/>
          <w:szCs w:val="22"/>
        </w:rPr>
        <w:t>. I</w:t>
      </w:r>
      <w:r w:rsidRPr="00A55220">
        <w:rPr>
          <w:rFonts w:cstheme="majorBidi"/>
          <w:szCs w:val="22"/>
        </w:rPr>
        <w:t>.8.</w:t>
      </w:r>
      <w:r w:rsidRPr="00A55220">
        <w:rPr>
          <w:rFonts w:cstheme="majorBidi"/>
          <w:b w:val="0"/>
          <w:bCs w:val="0"/>
          <w:szCs w:val="22"/>
        </w:rPr>
        <w:t xml:space="preserve"> Principe d'un MOSFET à canal N : les zones hachurées</w:t>
      </w:r>
    </w:p>
    <w:p w:rsidR="00A55220" w:rsidRPr="00A55220" w:rsidRDefault="00CC019A" w:rsidP="00A55220">
      <w:pPr>
        <w:pStyle w:val="Lgende"/>
        <w:jc w:val="center"/>
        <w:rPr>
          <w:rFonts w:cstheme="majorBidi"/>
          <w:b w:val="0"/>
          <w:bCs w:val="0"/>
          <w:szCs w:val="22"/>
        </w:rPr>
      </w:pPr>
      <w:proofErr w:type="gramStart"/>
      <w:r w:rsidRPr="00A55220">
        <w:rPr>
          <w:rFonts w:cstheme="majorBidi"/>
          <w:b w:val="0"/>
          <w:bCs w:val="0"/>
          <w:szCs w:val="22"/>
        </w:rPr>
        <w:t>sont</w:t>
      </w:r>
      <w:proofErr w:type="gramEnd"/>
      <w:r w:rsidRPr="00A55220">
        <w:rPr>
          <w:rFonts w:cstheme="majorBidi"/>
          <w:b w:val="0"/>
          <w:bCs w:val="0"/>
          <w:szCs w:val="22"/>
        </w:rPr>
        <w:t xml:space="preserve"> de type N</w:t>
      </w:r>
    </w:p>
    <w:p w:rsidR="00CC019A" w:rsidRPr="00A55220" w:rsidRDefault="00CC019A" w:rsidP="004C49EF">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Si Vds croit, alors on obtient un effet de pincement analogue à celui constaté dans le JFET, illustré figure </w:t>
      </w:r>
      <w:r w:rsidR="004C49EF" w:rsidRPr="00A55220">
        <w:rPr>
          <w:rFonts w:asciiTheme="majorBidi" w:hAnsiTheme="majorBidi" w:cstheme="majorBidi"/>
          <w:sz w:val="24"/>
        </w:rPr>
        <w:t>I</w:t>
      </w:r>
      <w:r w:rsidRPr="00A55220">
        <w:rPr>
          <w:rFonts w:asciiTheme="majorBidi" w:hAnsiTheme="majorBidi" w:cstheme="majorBidi"/>
          <w:sz w:val="24"/>
        </w:rPr>
        <w:t xml:space="preserve">.9, car la capacité du fait du potentiel positif appliqué sur le drain est moins polarisée de ce côté. Ce qui en d'autres termes revient à dire que la couche d'inversion présente une épaisseur non uniforme et décroissante de la source vers le drain. Pour une valeur de </w:t>
      </w:r>
      <w:r w:rsidRPr="00A55220">
        <w:rPr>
          <w:rFonts w:asciiTheme="majorBidi" w:hAnsiTheme="majorBidi" w:cstheme="majorBidi"/>
          <w:b/>
          <w:bCs/>
          <w:sz w:val="24"/>
        </w:rPr>
        <w:t xml:space="preserve">Vds = </w:t>
      </w:r>
      <w:proofErr w:type="spellStart"/>
      <w:r w:rsidRPr="00A55220">
        <w:rPr>
          <w:rFonts w:asciiTheme="majorBidi" w:hAnsiTheme="majorBidi" w:cstheme="majorBidi"/>
          <w:b/>
          <w:bCs/>
          <w:sz w:val="24"/>
        </w:rPr>
        <w:t>Vdsat</w:t>
      </w:r>
      <w:proofErr w:type="spellEnd"/>
      <w:r w:rsidRPr="00A55220">
        <w:rPr>
          <w:rFonts w:asciiTheme="majorBidi" w:hAnsiTheme="majorBidi" w:cstheme="majorBidi"/>
          <w:sz w:val="24"/>
        </w:rPr>
        <w:t xml:space="preserve"> on atteint la limite du pincement [7</w:t>
      </w:r>
      <w:proofErr w:type="gramStart"/>
      <w:r w:rsidRPr="00A55220">
        <w:rPr>
          <w:rFonts w:asciiTheme="majorBidi" w:hAnsiTheme="majorBidi" w:cstheme="majorBidi"/>
          <w:sz w:val="24"/>
        </w:rPr>
        <w:t>][</w:t>
      </w:r>
      <w:proofErr w:type="gramEnd"/>
      <w:r w:rsidRPr="00A55220">
        <w:rPr>
          <w:rFonts w:asciiTheme="majorBidi" w:hAnsiTheme="majorBidi" w:cstheme="majorBidi"/>
          <w:sz w:val="24"/>
        </w:rPr>
        <w:t>8].</w:t>
      </w:r>
    </w:p>
    <w:p w:rsidR="00CC019A" w:rsidRPr="00A55220" w:rsidRDefault="00CC019A" w:rsidP="00CC019A">
      <w:pPr>
        <w:autoSpaceDE w:val="0"/>
        <w:autoSpaceDN w:val="0"/>
        <w:spacing w:line="360" w:lineRule="auto"/>
        <w:rPr>
          <w:rFonts w:asciiTheme="majorBidi" w:hAnsiTheme="majorBidi" w:cstheme="majorBidi"/>
          <w:sz w:val="24"/>
        </w:rPr>
      </w:pPr>
    </w:p>
    <w:p w:rsidR="00CC019A" w:rsidRPr="00A55220" w:rsidRDefault="00CC019A" w:rsidP="00CC019A">
      <w:pPr>
        <w:autoSpaceDE w:val="0"/>
        <w:autoSpaceDN w:val="0"/>
        <w:spacing w:line="360" w:lineRule="auto"/>
        <w:jc w:val="center"/>
        <w:rPr>
          <w:rFonts w:asciiTheme="majorBidi" w:hAnsiTheme="majorBidi" w:cstheme="majorBidi"/>
          <w:sz w:val="24"/>
        </w:rPr>
      </w:pPr>
      <w:r w:rsidRPr="00A55220">
        <w:rPr>
          <w:rFonts w:asciiTheme="majorBidi" w:hAnsiTheme="majorBidi" w:cstheme="majorBidi"/>
          <w:noProof/>
          <w:sz w:val="24"/>
        </w:rPr>
        <w:lastRenderedPageBreak/>
        <w:drawing>
          <wp:inline distT="0" distB="0" distL="0" distR="0">
            <wp:extent cx="3225800" cy="3979545"/>
            <wp:effectExtent l="19050" t="0" r="0" b="0"/>
            <wp:docPr id="55"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srcRect/>
                    <a:stretch>
                      <a:fillRect/>
                    </a:stretch>
                  </pic:blipFill>
                  <pic:spPr bwMode="auto">
                    <a:xfrm>
                      <a:off x="0" y="0"/>
                      <a:ext cx="3225800" cy="3979545"/>
                    </a:xfrm>
                    <a:prstGeom prst="rect">
                      <a:avLst/>
                    </a:prstGeom>
                    <a:noFill/>
                    <a:ln w="9525">
                      <a:noFill/>
                      <a:miter lim="800000"/>
                      <a:headEnd/>
                      <a:tailEnd/>
                    </a:ln>
                  </pic:spPr>
                </pic:pic>
              </a:graphicData>
            </a:graphic>
          </wp:inline>
        </w:drawing>
      </w:r>
    </w:p>
    <w:p w:rsidR="00CC019A" w:rsidRPr="00FD7F8C" w:rsidRDefault="00140FC7" w:rsidP="00140FC7">
      <w:pPr>
        <w:autoSpaceDE w:val="0"/>
        <w:autoSpaceDN w:val="0"/>
        <w:spacing w:line="360" w:lineRule="auto"/>
        <w:jc w:val="center"/>
        <w:rPr>
          <w:rFonts w:asciiTheme="majorBidi" w:hAnsiTheme="majorBidi" w:cstheme="majorBidi"/>
          <w:szCs w:val="22"/>
        </w:rPr>
      </w:pPr>
      <w:r w:rsidRPr="00FD7F8C">
        <w:rPr>
          <w:rStyle w:val="LgendeCar"/>
          <w:rFonts w:cstheme="majorBidi"/>
          <w:szCs w:val="22"/>
        </w:rPr>
        <w:t>Fig. I</w:t>
      </w:r>
      <w:r w:rsidR="00CC019A" w:rsidRPr="00FD7F8C">
        <w:rPr>
          <w:rStyle w:val="LgendeCar"/>
          <w:rFonts w:cstheme="majorBidi"/>
          <w:szCs w:val="22"/>
        </w:rPr>
        <w:t>.9.</w:t>
      </w:r>
      <w:r w:rsidR="00CC019A" w:rsidRPr="00FD7F8C">
        <w:rPr>
          <w:rStyle w:val="LgendeCar"/>
          <w:rFonts w:cstheme="majorBidi"/>
          <w:b w:val="0"/>
          <w:bCs w:val="0"/>
          <w:szCs w:val="22"/>
        </w:rPr>
        <w:t xml:space="preserve"> Pincement du canal en fonction de </w:t>
      </w:r>
      <w:proofErr w:type="spellStart"/>
      <w:r w:rsidR="00CC019A" w:rsidRPr="00FD7F8C">
        <w:rPr>
          <w:rStyle w:val="LgendeCar"/>
          <w:rFonts w:cstheme="majorBidi"/>
          <w:b w:val="0"/>
          <w:bCs w:val="0"/>
          <w:szCs w:val="22"/>
        </w:rPr>
        <w:t>Vd</w:t>
      </w:r>
      <w:proofErr w:type="spellEnd"/>
    </w:p>
    <w:p w:rsidR="00CC019A" w:rsidRPr="00A55220" w:rsidRDefault="00140FC7" w:rsidP="00CC019A">
      <w:pPr>
        <w:pStyle w:val="Titre4"/>
        <w:spacing w:before="120"/>
        <w:rPr>
          <w:rFonts w:asciiTheme="majorBidi" w:hAnsiTheme="majorBidi" w:cstheme="majorBidi"/>
          <w:szCs w:val="24"/>
        </w:rPr>
      </w:pPr>
      <w:bookmarkStart w:id="35" w:name="_Toc418546461"/>
      <w:bookmarkStart w:id="36" w:name="_Toc418550268"/>
      <w:r w:rsidRPr="00A55220">
        <w:rPr>
          <w:rFonts w:asciiTheme="majorBidi" w:hAnsiTheme="majorBidi" w:cstheme="majorBidi"/>
          <w:szCs w:val="24"/>
        </w:rPr>
        <w:t xml:space="preserve">I.6.3. </w:t>
      </w:r>
      <w:proofErr w:type="spellStart"/>
      <w:r w:rsidR="00CC019A" w:rsidRPr="00A55220">
        <w:rPr>
          <w:rFonts w:asciiTheme="majorBidi" w:hAnsiTheme="majorBidi" w:cstheme="majorBidi"/>
          <w:szCs w:val="24"/>
        </w:rPr>
        <w:t>ontraintes</w:t>
      </w:r>
      <w:proofErr w:type="spellEnd"/>
      <w:r w:rsidR="00CC019A" w:rsidRPr="00A55220">
        <w:rPr>
          <w:rFonts w:asciiTheme="majorBidi" w:hAnsiTheme="majorBidi" w:cstheme="majorBidi"/>
          <w:szCs w:val="24"/>
        </w:rPr>
        <w:t xml:space="preserve"> et domaines d’utilisation</w:t>
      </w:r>
      <w:bookmarkEnd w:id="35"/>
      <w:bookmarkEnd w:id="36"/>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La grille étant isolée, la résistance d’entrée du transistor MOS est très élevée (de 1011 Ω à 1015 Ω), et la capacité grille-source étant très faible</w:t>
      </w:r>
      <w:r w:rsidRPr="00A55220">
        <w:rPr>
          <w:rFonts w:asciiTheme="majorBidi" w:hAnsiTheme="majorBidi" w:cstheme="majorBidi"/>
          <w:b/>
          <w:bCs/>
          <w:sz w:val="24"/>
        </w:rPr>
        <w:t xml:space="preserve">, </w:t>
      </w:r>
      <w:r w:rsidRPr="00A55220">
        <w:rPr>
          <w:rFonts w:asciiTheme="majorBidi" w:hAnsiTheme="majorBidi" w:cstheme="majorBidi"/>
          <w:sz w:val="24"/>
        </w:rPr>
        <w:t>ces transistors sont extrêmement sensibles aux charges électrostatiques qui peuvent provoquer le claquage de la couche de silice. Il faut donc intégrer des dispositifs de protection contre les surtensions (le plus souvent, deux diodes tête-bêche placées entre grille et source). En raison de leurs très petites dimensions, de leur faible consommation et de leur facilité d’intégration, le domaine privilégié d’emploi des transistors MOS est celui des circuits intégrés (mémoires, microprocesseurs, circuits logiques) [9].</w:t>
      </w:r>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Certes, ces dispositifs sont encore moins rapides, Malgré que des progrès spectaculaires ont été effectués en vue de la miniaturisation des transistors MOS et plus particulièrement la diminution de la longueur du canal, ce qui a permis d'augmenter la densité d'intégration et la vitesse de fonctionnement des circuits mais cette réduction de dimensions à engendrer des phénomènes parasites (modification de la tension de seuil, augmentation du phénomène des porteurs chauds, …) qui détériorent les caractéristiques courant tension.</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 xml:space="preserve">Toutefois, les technologues ont imaginé des procédés de fabrication particuliers en vue de conserver ces caractéristiques (Technologie SOI, NMOS, CMOS, VMOS, …), par exemple </w:t>
      </w:r>
      <w:r w:rsidRPr="00A55220">
        <w:rPr>
          <w:rFonts w:asciiTheme="majorBidi" w:hAnsiTheme="majorBidi" w:cstheme="majorBidi"/>
          <w:sz w:val="24"/>
        </w:rPr>
        <w:lastRenderedPageBreak/>
        <w:t>les transistors de type VMOS (à grille particulière en forme de V) permettent des applications de puissance (plusieurs dizaines de watts) jusqu’à des fréquences très élevées (plusieurs milliers de mégahertz) [11].</w:t>
      </w:r>
    </w:p>
    <w:p w:rsidR="00CC019A" w:rsidRPr="00FD7F8C" w:rsidRDefault="00140FC7" w:rsidP="00CC019A">
      <w:pPr>
        <w:pStyle w:val="Titre3"/>
        <w:spacing w:before="120"/>
        <w:rPr>
          <w:rFonts w:asciiTheme="majorBidi" w:hAnsiTheme="majorBidi" w:cstheme="majorBidi"/>
          <w:sz w:val="28"/>
          <w:szCs w:val="28"/>
        </w:rPr>
      </w:pPr>
      <w:bookmarkStart w:id="37" w:name="_Toc418546462"/>
      <w:bookmarkStart w:id="38" w:name="_Toc418550269"/>
      <w:r w:rsidRPr="00FD7F8C">
        <w:rPr>
          <w:rFonts w:asciiTheme="majorBidi" w:hAnsiTheme="majorBidi" w:cstheme="majorBidi"/>
          <w:sz w:val="28"/>
          <w:szCs w:val="28"/>
        </w:rPr>
        <w:t xml:space="preserve">I.7. </w:t>
      </w:r>
      <w:r w:rsidR="00CC019A" w:rsidRPr="00FD7F8C">
        <w:rPr>
          <w:rFonts w:asciiTheme="majorBidi" w:hAnsiTheme="majorBidi" w:cstheme="majorBidi"/>
          <w:sz w:val="28"/>
          <w:szCs w:val="28"/>
        </w:rPr>
        <w:t>Le transistor à Effet de Champ à Contact Schottky (MESFET)</w:t>
      </w:r>
      <w:bookmarkEnd w:id="37"/>
      <w:bookmarkEnd w:id="38"/>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Le </w:t>
      </w:r>
      <w:r w:rsidRPr="00A55220">
        <w:rPr>
          <w:rFonts w:asciiTheme="majorBidi" w:hAnsiTheme="majorBidi" w:cstheme="majorBidi"/>
          <w:i/>
          <w:iCs/>
          <w:sz w:val="24"/>
        </w:rPr>
        <w:t xml:space="preserve">MESFET </w:t>
      </w:r>
      <w:r w:rsidRPr="00A55220">
        <w:rPr>
          <w:rFonts w:asciiTheme="majorBidi" w:hAnsiTheme="majorBidi" w:cstheme="majorBidi"/>
          <w:sz w:val="24"/>
        </w:rPr>
        <w:t>(</w:t>
      </w:r>
      <w:proofErr w:type="spellStart"/>
      <w:r w:rsidRPr="00A55220">
        <w:rPr>
          <w:rFonts w:asciiTheme="majorBidi" w:hAnsiTheme="majorBidi" w:cstheme="majorBidi"/>
          <w:sz w:val="24"/>
        </w:rPr>
        <w:t>MEtal</w:t>
      </w:r>
      <w:proofErr w:type="spellEnd"/>
      <w:r w:rsidRPr="00A55220">
        <w:rPr>
          <w:rFonts w:asciiTheme="majorBidi" w:hAnsiTheme="majorBidi" w:cstheme="majorBidi"/>
          <w:sz w:val="24"/>
        </w:rPr>
        <w:t xml:space="preserve"> Semi-conducteur Field </w:t>
      </w:r>
      <w:proofErr w:type="spellStart"/>
      <w:r w:rsidRPr="00A55220">
        <w:rPr>
          <w:rFonts w:asciiTheme="majorBidi" w:hAnsiTheme="majorBidi" w:cstheme="majorBidi"/>
          <w:sz w:val="24"/>
        </w:rPr>
        <w:t>Effect</w:t>
      </w:r>
      <w:proofErr w:type="spellEnd"/>
      <w:r w:rsidRPr="00A55220">
        <w:rPr>
          <w:rFonts w:asciiTheme="majorBidi" w:hAnsiTheme="majorBidi" w:cstheme="majorBidi"/>
          <w:sz w:val="24"/>
        </w:rPr>
        <w:t xml:space="preserve"> Transistor) fut le premier composant à être fabriqué à partir d'un composé III-V. En 1966 </w:t>
      </w:r>
      <w:proofErr w:type="spellStart"/>
      <w:r w:rsidRPr="00A55220">
        <w:rPr>
          <w:rFonts w:asciiTheme="majorBidi" w:hAnsiTheme="majorBidi" w:cstheme="majorBidi"/>
          <w:sz w:val="24"/>
        </w:rPr>
        <w:t>Carver</w:t>
      </w:r>
      <w:proofErr w:type="spellEnd"/>
      <w:r w:rsidRPr="00A55220">
        <w:rPr>
          <w:rFonts w:asciiTheme="majorBidi" w:hAnsiTheme="majorBidi" w:cstheme="majorBidi"/>
          <w:sz w:val="24"/>
        </w:rPr>
        <w:t xml:space="preserve"> Mead [6] proposa en premier lieu de remplacer le Silicium des premiers FET par un semi-conducteur III-V tel que l'Arséniure de Gallium (</w:t>
      </w:r>
      <w:proofErr w:type="spellStart"/>
      <w:r w:rsidRPr="00A55220">
        <w:rPr>
          <w:rFonts w:asciiTheme="majorBidi" w:hAnsiTheme="majorBidi" w:cstheme="majorBidi"/>
          <w:sz w:val="24"/>
        </w:rPr>
        <w:t>GaAs</w:t>
      </w:r>
      <w:proofErr w:type="spellEnd"/>
      <w:r w:rsidRPr="00A55220">
        <w:rPr>
          <w:rFonts w:asciiTheme="majorBidi" w:hAnsiTheme="majorBidi" w:cstheme="majorBidi"/>
          <w:sz w:val="24"/>
        </w:rPr>
        <w:t xml:space="preserve">), puis réalisé par </w:t>
      </w:r>
      <w:proofErr w:type="spellStart"/>
      <w:r w:rsidRPr="00A55220">
        <w:rPr>
          <w:rFonts w:asciiTheme="majorBidi" w:hAnsiTheme="majorBidi" w:cstheme="majorBidi"/>
          <w:sz w:val="24"/>
        </w:rPr>
        <w:t>Hoop</w:t>
      </w:r>
      <w:proofErr w:type="spellEnd"/>
      <w:r w:rsidRPr="00A55220">
        <w:rPr>
          <w:rFonts w:asciiTheme="majorBidi" w:hAnsiTheme="majorBidi" w:cstheme="majorBidi"/>
          <w:sz w:val="24"/>
        </w:rPr>
        <w:t xml:space="preserve"> [6]. Cette évolution au niveau matériau a permis l'utilisation des MESFET</w:t>
      </w:r>
      <w:r w:rsidRPr="00A55220">
        <w:rPr>
          <w:rFonts w:asciiTheme="majorBidi" w:hAnsiTheme="majorBidi" w:cstheme="majorBidi"/>
          <w:i/>
          <w:iCs/>
          <w:sz w:val="24"/>
        </w:rPr>
        <w:t xml:space="preserve"> </w:t>
      </w:r>
      <w:r w:rsidRPr="00A55220">
        <w:rPr>
          <w:rFonts w:asciiTheme="majorBidi" w:hAnsiTheme="majorBidi" w:cstheme="majorBidi"/>
          <w:sz w:val="24"/>
        </w:rPr>
        <w:t>aux fréquences micro-ondes, et depuis cette date de nombreux travaux ont été effectués pour réaliser des transistors de plus en plus performants à base de matériau à grand gap. Les premiers résultats obtenus avec un MESFET</w:t>
      </w:r>
      <w:r w:rsidRPr="00A55220">
        <w:rPr>
          <w:rFonts w:asciiTheme="majorBidi" w:hAnsiTheme="majorBidi" w:cstheme="majorBidi"/>
          <w:i/>
          <w:iCs/>
          <w:sz w:val="24"/>
        </w:rPr>
        <w:t xml:space="preserve"> </w:t>
      </w:r>
      <w:r w:rsidRPr="00A55220">
        <w:rPr>
          <w:rFonts w:asciiTheme="majorBidi" w:hAnsiTheme="majorBidi" w:cstheme="majorBidi"/>
          <w:sz w:val="24"/>
        </w:rPr>
        <w:t>au carbure de silicium (4H-</w:t>
      </w:r>
      <w:proofErr w:type="spellStart"/>
      <w:r w:rsidRPr="00A55220">
        <w:rPr>
          <w:rFonts w:asciiTheme="majorBidi" w:hAnsiTheme="majorBidi" w:cstheme="majorBidi"/>
          <w:sz w:val="24"/>
        </w:rPr>
        <w:t>SiC</w:t>
      </w:r>
      <w:proofErr w:type="spellEnd"/>
      <w:r w:rsidRPr="00A55220">
        <w:rPr>
          <w:rFonts w:asciiTheme="majorBidi" w:hAnsiTheme="majorBidi" w:cstheme="majorBidi"/>
          <w:sz w:val="24"/>
        </w:rPr>
        <w:t>) datent de 1994.</w:t>
      </w:r>
    </w:p>
    <w:p w:rsidR="00CC019A" w:rsidRPr="00A55220" w:rsidRDefault="00140FC7" w:rsidP="00CC019A">
      <w:pPr>
        <w:pStyle w:val="Titre4"/>
        <w:spacing w:before="120"/>
        <w:rPr>
          <w:rFonts w:asciiTheme="majorBidi" w:hAnsiTheme="majorBidi" w:cstheme="majorBidi"/>
          <w:szCs w:val="24"/>
        </w:rPr>
      </w:pPr>
      <w:bookmarkStart w:id="39" w:name="_Toc418546463"/>
      <w:bookmarkStart w:id="40" w:name="_Toc418550270"/>
      <w:r w:rsidRPr="00A55220">
        <w:rPr>
          <w:rFonts w:asciiTheme="majorBidi" w:hAnsiTheme="majorBidi" w:cstheme="majorBidi"/>
          <w:szCs w:val="24"/>
        </w:rPr>
        <w:t xml:space="preserve">I.7.1. </w:t>
      </w:r>
      <w:r w:rsidR="00CC019A" w:rsidRPr="00A55220">
        <w:rPr>
          <w:rFonts w:asciiTheme="majorBidi" w:hAnsiTheme="majorBidi" w:cstheme="majorBidi"/>
          <w:szCs w:val="24"/>
        </w:rPr>
        <w:t>Structure et Description [5</w:t>
      </w:r>
      <w:proofErr w:type="gramStart"/>
      <w:r w:rsidR="00CC019A" w:rsidRPr="00A55220">
        <w:rPr>
          <w:rFonts w:asciiTheme="majorBidi" w:hAnsiTheme="majorBidi" w:cstheme="majorBidi"/>
          <w:szCs w:val="24"/>
        </w:rPr>
        <w:t>][</w:t>
      </w:r>
      <w:proofErr w:type="gramEnd"/>
      <w:r w:rsidR="00CC019A" w:rsidRPr="00A55220">
        <w:rPr>
          <w:rFonts w:asciiTheme="majorBidi" w:hAnsiTheme="majorBidi" w:cstheme="majorBidi"/>
          <w:szCs w:val="24"/>
        </w:rPr>
        <w:t>6]</w:t>
      </w:r>
      <w:bookmarkEnd w:id="39"/>
      <w:bookmarkEnd w:id="40"/>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Dans l’état de l’art aujourd’hui, la structure du Transistor à effet de champ à contact Schottky repose sur une couche active (canal) directement implantée dans le substrat semi-isolant. Ensuite, la grille en métal réfractaire est déposée pour matérialiser le contact Schottky. Puis les zones N+ sont implantées en se servant du métal comme d'un masque pour obtenir deux zones d'accès auto alignées sur la grille.</w:t>
      </w:r>
    </w:p>
    <w:p w:rsidR="00CC019A" w:rsidRPr="00A55220" w:rsidRDefault="00CC019A" w:rsidP="00CC019A">
      <w:pPr>
        <w:autoSpaceDE w:val="0"/>
        <w:autoSpaceDN w:val="0"/>
        <w:spacing w:line="360" w:lineRule="auto"/>
        <w:ind w:firstLine="426"/>
        <w:rPr>
          <w:rFonts w:asciiTheme="majorBidi" w:hAnsiTheme="majorBidi" w:cstheme="majorBidi"/>
          <w:sz w:val="24"/>
        </w:rPr>
      </w:pPr>
    </w:p>
    <w:p w:rsidR="00CC019A" w:rsidRPr="00A55220" w:rsidRDefault="00CC019A" w:rsidP="00140FC7">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 La figure </w:t>
      </w:r>
      <w:r w:rsidR="00140FC7" w:rsidRPr="00A55220">
        <w:rPr>
          <w:rFonts w:asciiTheme="majorBidi" w:hAnsiTheme="majorBidi" w:cstheme="majorBidi"/>
          <w:sz w:val="24"/>
        </w:rPr>
        <w:t>I</w:t>
      </w:r>
      <w:r w:rsidRPr="00A55220">
        <w:rPr>
          <w:rFonts w:asciiTheme="majorBidi" w:hAnsiTheme="majorBidi" w:cstheme="majorBidi"/>
          <w:sz w:val="24"/>
        </w:rPr>
        <w:t>.10 présente une coupe schématique d'un MESFET. La structure présentée met en évidence les différentes couches utilisées pour sa réalisation.</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La couche active est généralement une couche du type N qui repose sur un substrat semi-isolant. Les contacts de source et de drain sont des contacts ohmiques contrairement au contact Schottky de grille.</w:t>
      </w:r>
    </w:p>
    <w:p w:rsidR="00CC019A" w:rsidRPr="00A55220" w:rsidRDefault="00CC019A" w:rsidP="00CC019A">
      <w:pPr>
        <w:autoSpaceDE w:val="0"/>
        <w:autoSpaceDN w:val="0"/>
        <w:spacing w:line="360" w:lineRule="auto"/>
        <w:jc w:val="center"/>
        <w:rPr>
          <w:rFonts w:asciiTheme="majorBidi" w:hAnsiTheme="majorBidi" w:cstheme="majorBidi"/>
          <w:sz w:val="24"/>
        </w:rPr>
      </w:pPr>
      <w:r w:rsidRPr="00A55220">
        <w:rPr>
          <w:rFonts w:asciiTheme="majorBidi" w:hAnsiTheme="majorBidi" w:cstheme="majorBidi"/>
          <w:noProof/>
          <w:sz w:val="24"/>
        </w:rPr>
        <w:drawing>
          <wp:inline distT="0" distB="0" distL="0" distR="0">
            <wp:extent cx="3803650" cy="1931035"/>
            <wp:effectExtent l="19050" t="0" r="6350" b="0"/>
            <wp:docPr id="56"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srcRect/>
                    <a:stretch>
                      <a:fillRect/>
                    </a:stretch>
                  </pic:blipFill>
                  <pic:spPr bwMode="auto">
                    <a:xfrm>
                      <a:off x="0" y="0"/>
                      <a:ext cx="3803650" cy="1931035"/>
                    </a:xfrm>
                    <a:prstGeom prst="rect">
                      <a:avLst/>
                    </a:prstGeom>
                    <a:noFill/>
                    <a:ln w="9525">
                      <a:noFill/>
                      <a:miter lim="800000"/>
                      <a:headEnd/>
                      <a:tailEnd/>
                    </a:ln>
                  </pic:spPr>
                </pic:pic>
              </a:graphicData>
            </a:graphic>
          </wp:inline>
        </w:drawing>
      </w:r>
    </w:p>
    <w:p w:rsidR="00CC019A" w:rsidRPr="00A55220" w:rsidRDefault="00CC019A" w:rsidP="00140FC7">
      <w:pPr>
        <w:pStyle w:val="Lgende"/>
        <w:jc w:val="center"/>
        <w:rPr>
          <w:rFonts w:cstheme="majorBidi"/>
          <w:b w:val="0"/>
          <w:bCs w:val="0"/>
          <w:sz w:val="24"/>
        </w:rPr>
      </w:pPr>
      <w:r w:rsidRPr="00A55220">
        <w:rPr>
          <w:rFonts w:cstheme="majorBidi"/>
          <w:sz w:val="24"/>
        </w:rPr>
        <w:t>Fig</w:t>
      </w:r>
      <w:r w:rsidR="00140FC7" w:rsidRPr="00A55220">
        <w:rPr>
          <w:rFonts w:cstheme="majorBidi"/>
          <w:sz w:val="24"/>
        </w:rPr>
        <w:t>. I</w:t>
      </w:r>
      <w:r w:rsidRPr="00A55220">
        <w:rPr>
          <w:rFonts w:cstheme="majorBidi"/>
          <w:sz w:val="24"/>
        </w:rPr>
        <w:t>.10.</w:t>
      </w:r>
      <w:r w:rsidRPr="00A55220">
        <w:rPr>
          <w:rFonts w:cstheme="majorBidi"/>
          <w:b w:val="0"/>
          <w:bCs w:val="0"/>
          <w:sz w:val="24"/>
        </w:rPr>
        <w:t xml:space="preserve"> Vue en coupe du MESFET </w:t>
      </w:r>
      <w:proofErr w:type="spellStart"/>
      <w:r w:rsidRPr="00A55220">
        <w:rPr>
          <w:rFonts w:cstheme="majorBidi"/>
          <w:b w:val="0"/>
          <w:bCs w:val="0"/>
          <w:sz w:val="24"/>
        </w:rPr>
        <w:t>GaAs</w:t>
      </w:r>
      <w:proofErr w:type="spellEnd"/>
      <w:r w:rsidRPr="00A55220">
        <w:rPr>
          <w:rFonts w:cstheme="majorBidi"/>
          <w:b w:val="0"/>
          <w:bCs w:val="0"/>
          <w:sz w:val="24"/>
        </w:rPr>
        <w:t xml:space="preserve"> implanté auto-aligné</w:t>
      </w:r>
    </w:p>
    <w:p w:rsidR="00CC019A" w:rsidRPr="00A55220" w:rsidRDefault="00140FC7" w:rsidP="00CC019A">
      <w:pPr>
        <w:pStyle w:val="Titre4"/>
        <w:spacing w:before="120"/>
        <w:rPr>
          <w:rFonts w:asciiTheme="majorBidi" w:hAnsiTheme="majorBidi" w:cstheme="majorBidi"/>
          <w:szCs w:val="24"/>
        </w:rPr>
      </w:pPr>
      <w:bookmarkStart w:id="41" w:name="_Toc418546464"/>
      <w:bookmarkStart w:id="42" w:name="_Toc418550271"/>
      <w:r w:rsidRPr="00A55220">
        <w:rPr>
          <w:rFonts w:asciiTheme="majorBidi" w:hAnsiTheme="majorBidi" w:cstheme="majorBidi"/>
          <w:szCs w:val="24"/>
        </w:rPr>
        <w:lastRenderedPageBreak/>
        <w:t xml:space="preserve">I.7.2. </w:t>
      </w:r>
      <w:r w:rsidR="00CC019A" w:rsidRPr="00A55220">
        <w:rPr>
          <w:rFonts w:asciiTheme="majorBidi" w:hAnsiTheme="majorBidi" w:cstheme="majorBidi"/>
          <w:szCs w:val="24"/>
        </w:rPr>
        <w:t>Principe de fonctionnement [12]</w:t>
      </w:r>
      <w:bookmarkEnd w:id="41"/>
      <w:bookmarkEnd w:id="42"/>
    </w:p>
    <w:p w:rsidR="00CC019A" w:rsidRPr="00A55220" w:rsidRDefault="00CC019A" w:rsidP="00140FC7">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La base du fonctionnement d'un MESFET est la possibilité de moduler l'épaisseur du canal sous la grille figure </w:t>
      </w:r>
      <w:r w:rsidR="00140FC7" w:rsidRPr="00A55220">
        <w:rPr>
          <w:rFonts w:asciiTheme="majorBidi" w:hAnsiTheme="majorBidi" w:cstheme="majorBidi"/>
          <w:sz w:val="24"/>
        </w:rPr>
        <w:t>I</w:t>
      </w:r>
      <w:r w:rsidRPr="00A55220">
        <w:rPr>
          <w:rFonts w:asciiTheme="majorBidi" w:hAnsiTheme="majorBidi" w:cstheme="majorBidi"/>
          <w:sz w:val="24"/>
        </w:rPr>
        <w:t>.11. Le contact de grille est de type Schottky. Une couche dépeuplée d'électrons libres, appelée zone de charge d'espace (ZCE), se crée sous la grille. Aucun courant ne peut traverser cette couche. La région où le courant peut circuler est donc réduite à la fraction de la couche active non dépeuplée. En régime de fonctionnement normal le drain est polarisé positivement par rapport à la source, tandis que la grille est polarisée négativement, toujours par rapport à la source.</w:t>
      </w:r>
    </w:p>
    <w:p w:rsidR="00CC019A" w:rsidRPr="00A55220" w:rsidRDefault="00CC019A" w:rsidP="00CC019A">
      <w:pPr>
        <w:autoSpaceDE w:val="0"/>
        <w:autoSpaceDN w:val="0"/>
        <w:spacing w:line="360" w:lineRule="auto"/>
        <w:jc w:val="center"/>
        <w:rPr>
          <w:rFonts w:asciiTheme="majorBidi" w:hAnsiTheme="majorBidi" w:cstheme="majorBidi"/>
          <w:sz w:val="24"/>
        </w:rPr>
      </w:pPr>
      <w:r w:rsidRPr="00A55220">
        <w:rPr>
          <w:rFonts w:asciiTheme="majorBidi" w:hAnsiTheme="majorBidi" w:cstheme="majorBidi"/>
          <w:noProof/>
          <w:sz w:val="24"/>
        </w:rPr>
        <w:drawing>
          <wp:inline distT="0" distB="0" distL="0" distR="0">
            <wp:extent cx="3243529" cy="2275027"/>
            <wp:effectExtent l="19050" t="0" r="0" b="0"/>
            <wp:docPr id="5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srcRect/>
                    <a:stretch>
                      <a:fillRect/>
                    </a:stretch>
                  </pic:blipFill>
                  <pic:spPr bwMode="auto">
                    <a:xfrm>
                      <a:off x="0" y="0"/>
                      <a:ext cx="3240000" cy="2272552"/>
                    </a:xfrm>
                    <a:prstGeom prst="rect">
                      <a:avLst/>
                    </a:prstGeom>
                    <a:noFill/>
                    <a:ln w="9525">
                      <a:noFill/>
                      <a:miter lim="800000"/>
                      <a:headEnd/>
                      <a:tailEnd/>
                    </a:ln>
                  </pic:spPr>
                </pic:pic>
              </a:graphicData>
            </a:graphic>
          </wp:inline>
        </w:drawing>
      </w:r>
    </w:p>
    <w:p w:rsidR="00CC019A" w:rsidRPr="00A55220" w:rsidRDefault="00140FC7" w:rsidP="00CC019A">
      <w:pPr>
        <w:pStyle w:val="Lgende"/>
        <w:jc w:val="center"/>
        <w:rPr>
          <w:rFonts w:cstheme="majorBidi"/>
          <w:b w:val="0"/>
          <w:bCs w:val="0"/>
          <w:sz w:val="24"/>
        </w:rPr>
      </w:pPr>
      <w:r w:rsidRPr="00A55220">
        <w:rPr>
          <w:rFonts w:cstheme="majorBidi"/>
          <w:sz w:val="24"/>
        </w:rPr>
        <w:t>Fig. I</w:t>
      </w:r>
      <w:r w:rsidR="00CC019A" w:rsidRPr="00A55220">
        <w:rPr>
          <w:rFonts w:cstheme="majorBidi"/>
          <w:sz w:val="24"/>
        </w:rPr>
        <w:t>.11.</w:t>
      </w:r>
      <w:r w:rsidR="00CC019A" w:rsidRPr="00A55220">
        <w:rPr>
          <w:rFonts w:cstheme="majorBidi"/>
          <w:b w:val="0"/>
          <w:bCs w:val="0"/>
          <w:sz w:val="24"/>
        </w:rPr>
        <w:t xml:space="preserve"> Vue en coupe et polarisation d'un MESFET</w:t>
      </w:r>
    </w:p>
    <w:p w:rsidR="00CC019A" w:rsidRPr="00A55220" w:rsidRDefault="00CC019A" w:rsidP="00CC019A">
      <w:pPr>
        <w:autoSpaceDE w:val="0"/>
        <w:autoSpaceDN w:val="0"/>
        <w:spacing w:line="360" w:lineRule="auto"/>
        <w:jc w:val="center"/>
        <w:rPr>
          <w:rFonts w:asciiTheme="majorBidi" w:hAnsiTheme="majorBidi" w:cstheme="majorBidi"/>
          <w:sz w:val="24"/>
        </w:rPr>
      </w:pPr>
    </w:p>
    <w:p w:rsidR="00CC019A" w:rsidRPr="00A55220" w:rsidRDefault="00CC019A" w:rsidP="00140FC7">
      <w:pPr>
        <w:pStyle w:val="Paragraphedeliste"/>
        <w:numPr>
          <w:ilvl w:val="0"/>
          <w:numId w:val="2"/>
        </w:numPr>
        <w:autoSpaceDE w:val="0"/>
        <w:autoSpaceDN w:val="0"/>
        <w:adjustRightInd w:val="0"/>
        <w:spacing w:after="0" w:line="360" w:lineRule="auto"/>
        <w:ind w:left="0" w:firstLine="349"/>
        <w:jc w:val="both"/>
        <w:rPr>
          <w:rFonts w:asciiTheme="majorBidi" w:hAnsiTheme="majorBidi" w:cstheme="majorBidi"/>
          <w:sz w:val="24"/>
          <w:szCs w:val="24"/>
        </w:rPr>
      </w:pPr>
      <w:r w:rsidRPr="00A55220">
        <w:rPr>
          <w:rFonts w:asciiTheme="majorBidi" w:hAnsiTheme="majorBidi" w:cstheme="majorBidi"/>
          <w:b/>
          <w:bCs/>
          <w:sz w:val="24"/>
          <w:szCs w:val="24"/>
        </w:rPr>
        <w:t>A tension de drain fixée</w:t>
      </w:r>
      <w:r w:rsidRPr="00A55220">
        <w:rPr>
          <w:rFonts w:asciiTheme="majorBidi" w:hAnsiTheme="majorBidi" w:cstheme="majorBidi"/>
          <w:sz w:val="24"/>
          <w:szCs w:val="24"/>
        </w:rPr>
        <w:t>, la polarisation négative de la grille a pour effet d'augmenter la pénétration de la zone de charge d'espace dans la couche active, diminuant ainsi le passage du courant. Lorsque la tension de grille est suffisamment négative, la ZCE vient complètement obstruer le canal (en pointillé sur la figure I.</w:t>
      </w:r>
      <w:r w:rsidR="00140FC7" w:rsidRPr="00A55220">
        <w:rPr>
          <w:rFonts w:asciiTheme="majorBidi" w:hAnsiTheme="majorBidi" w:cstheme="majorBidi"/>
          <w:sz w:val="24"/>
          <w:szCs w:val="24"/>
        </w:rPr>
        <w:t>11</w:t>
      </w:r>
      <w:r w:rsidRPr="00A55220">
        <w:rPr>
          <w:rFonts w:asciiTheme="majorBidi" w:hAnsiTheme="majorBidi" w:cstheme="majorBidi"/>
          <w:sz w:val="24"/>
          <w:szCs w:val="24"/>
        </w:rPr>
        <w:t>), ne laissant plus passer le courant. Le transistor est alors dit « pincé » et la tension appliquée sur la grille est alors appelée tension de pincement (</w:t>
      </w:r>
      <w:proofErr w:type="spellStart"/>
      <w:r w:rsidRPr="00A55220">
        <w:rPr>
          <w:rFonts w:asciiTheme="majorBidi" w:hAnsiTheme="majorBidi" w:cstheme="majorBidi"/>
          <w:i/>
          <w:iCs/>
          <w:sz w:val="24"/>
          <w:szCs w:val="24"/>
        </w:rPr>
        <w:t>Vp</w:t>
      </w:r>
      <w:proofErr w:type="spellEnd"/>
      <w:r w:rsidRPr="00A55220">
        <w:rPr>
          <w:rFonts w:asciiTheme="majorBidi" w:hAnsiTheme="majorBidi" w:cstheme="majorBidi"/>
          <w:sz w:val="24"/>
          <w:szCs w:val="24"/>
        </w:rPr>
        <w:t>).</w:t>
      </w:r>
    </w:p>
    <w:p w:rsidR="00CC019A" w:rsidRPr="00A55220" w:rsidRDefault="00CC019A" w:rsidP="00CC019A">
      <w:pPr>
        <w:pStyle w:val="Paragraphedeliste"/>
        <w:numPr>
          <w:ilvl w:val="0"/>
          <w:numId w:val="2"/>
        </w:numPr>
        <w:autoSpaceDE w:val="0"/>
        <w:autoSpaceDN w:val="0"/>
        <w:adjustRightInd w:val="0"/>
        <w:spacing w:after="0" w:line="360" w:lineRule="auto"/>
        <w:ind w:left="0" w:firstLine="360"/>
        <w:jc w:val="both"/>
        <w:rPr>
          <w:rFonts w:asciiTheme="majorBidi" w:hAnsiTheme="majorBidi" w:cstheme="majorBidi"/>
          <w:sz w:val="24"/>
          <w:szCs w:val="24"/>
        </w:rPr>
      </w:pPr>
      <w:r w:rsidRPr="00A55220">
        <w:rPr>
          <w:rFonts w:asciiTheme="majorBidi" w:hAnsiTheme="majorBidi" w:cstheme="majorBidi"/>
          <w:b/>
          <w:bCs/>
          <w:sz w:val="24"/>
          <w:szCs w:val="24"/>
        </w:rPr>
        <w:t>A tension de grille fixée</w:t>
      </w:r>
      <w:r w:rsidRPr="00A55220">
        <w:rPr>
          <w:rFonts w:asciiTheme="majorBidi" w:hAnsiTheme="majorBidi" w:cstheme="majorBidi"/>
          <w:sz w:val="24"/>
          <w:szCs w:val="24"/>
        </w:rPr>
        <w:t xml:space="preserve">, l'augmentation de la tension positive de drain crée un champ électrique dans le canal. Ce champ entraîne les électrons de la source vers la grille, établissant ainsi un courant </w:t>
      </w:r>
      <w:proofErr w:type="spellStart"/>
      <w:r w:rsidRPr="00A55220">
        <w:rPr>
          <w:rFonts w:asciiTheme="majorBidi" w:hAnsiTheme="majorBidi" w:cstheme="majorBidi"/>
          <w:i/>
          <w:iCs/>
          <w:sz w:val="24"/>
          <w:szCs w:val="24"/>
        </w:rPr>
        <w:t>Ids</w:t>
      </w:r>
      <w:proofErr w:type="spellEnd"/>
      <w:r w:rsidRPr="00A55220">
        <w:rPr>
          <w:rFonts w:asciiTheme="majorBidi" w:hAnsiTheme="majorBidi" w:cstheme="majorBidi"/>
          <w:i/>
          <w:iCs/>
          <w:sz w:val="24"/>
          <w:szCs w:val="24"/>
        </w:rPr>
        <w:t xml:space="preserve"> </w:t>
      </w:r>
      <w:r w:rsidRPr="00A55220">
        <w:rPr>
          <w:rFonts w:asciiTheme="majorBidi" w:hAnsiTheme="majorBidi" w:cstheme="majorBidi"/>
          <w:sz w:val="24"/>
          <w:szCs w:val="24"/>
        </w:rPr>
        <w:t>(drain-source).</w:t>
      </w:r>
    </w:p>
    <w:p w:rsidR="00CC019A" w:rsidRPr="00A55220" w:rsidRDefault="00CC019A" w:rsidP="00CC019A">
      <w:pPr>
        <w:pStyle w:val="Paragraphedeliste"/>
        <w:numPr>
          <w:ilvl w:val="0"/>
          <w:numId w:val="2"/>
        </w:numPr>
        <w:autoSpaceDE w:val="0"/>
        <w:autoSpaceDN w:val="0"/>
        <w:adjustRightInd w:val="0"/>
        <w:spacing w:after="0" w:line="360" w:lineRule="auto"/>
        <w:ind w:left="0" w:firstLine="360"/>
        <w:jc w:val="both"/>
        <w:rPr>
          <w:rFonts w:asciiTheme="majorBidi" w:hAnsiTheme="majorBidi" w:cstheme="majorBidi"/>
          <w:sz w:val="24"/>
          <w:szCs w:val="24"/>
        </w:rPr>
      </w:pPr>
      <w:r w:rsidRPr="00A55220">
        <w:rPr>
          <w:rFonts w:asciiTheme="majorBidi" w:hAnsiTheme="majorBidi" w:cstheme="majorBidi"/>
          <w:b/>
          <w:bCs/>
          <w:sz w:val="24"/>
          <w:szCs w:val="24"/>
        </w:rPr>
        <w:t>Avec l'accroissement de la tension de drain</w:t>
      </w:r>
      <w:r w:rsidRPr="00A55220">
        <w:rPr>
          <w:rFonts w:asciiTheme="majorBidi" w:hAnsiTheme="majorBidi" w:cstheme="majorBidi"/>
          <w:sz w:val="24"/>
          <w:szCs w:val="24"/>
        </w:rPr>
        <w:t xml:space="preserve">, la section de la zone dépeuplée (zone de charge d'espace) commence à se déformer en devenant beaucoup plus importante côté drain que côté source. Ce resserrement du canal provoque un ralentissement de la croissance du courant de drain. Arrivé à un certain stade, l'augmentation de la tension </w:t>
      </w:r>
      <w:r w:rsidRPr="00A55220">
        <w:rPr>
          <w:rFonts w:asciiTheme="majorBidi" w:hAnsiTheme="majorBidi" w:cstheme="majorBidi"/>
          <w:i/>
          <w:iCs/>
          <w:sz w:val="24"/>
          <w:szCs w:val="24"/>
        </w:rPr>
        <w:t xml:space="preserve">Vds </w:t>
      </w:r>
      <w:r w:rsidRPr="00A55220">
        <w:rPr>
          <w:rFonts w:asciiTheme="majorBidi" w:hAnsiTheme="majorBidi" w:cstheme="majorBidi"/>
          <w:sz w:val="24"/>
          <w:szCs w:val="24"/>
        </w:rPr>
        <w:t>n'a quasiment plus aucune influence sur le courant. On nomme le courant de saturation (</w:t>
      </w:r>
      <w:proofErr w:type="spellStart"/>
      <w:r w:rsidRPr="00A55220">
        <w:rPr>
          <w:rFonts w:asciiTheme="majorBidi" w:hAnsiTheme="majorBidi" w:cstheme="majorBidi"/>
          <w:i/>
          <w:iCs/>
          <w:sz w:val="24"/>
          <w:szCs w:val="24"/>
        </w:rPr>
        <w:t>Idsat</w:t>
      </w:r>
      <w:proofErr w:type="spellEnd"/>
      <w:r w:rsidRPr="00A55220">
        <w:rPr>
          <w:rFonts w:asciiTheme="majorBidi" w:hAnsiTheme="majorBidi" w:cstheme="majorBidi"/>
          <w:sz w:val="24"/>
          <w:szCs w:val="24"/>
        </w:rPr>
        <w:t xml:space="preserve">), lorsque le </w:t>
      </w:r>
      <w:r w:rsidRPr="00A55220">
        <w:rPr>
          <w:rFonts w:asciiTheme="majorBidi" w:hAnsiTheme="majorBidi" w:cstheme="majorBidi"/>
          <w:sz w:val="24"/>
          <w:szCs w:val="24"/>
        </w:rPr>
        <w:lastRenderedPageBreak/>
        <w:t>courant de drain (</w:t>
      </w:r>
      <w:proofErr w:type="spellStart"/>
      <w:r w:rsidRPr="00A55220">
        <w:rPr>
          <w:rFonts w:asciiTheme="majorBidi" w:hAnsiTheme="majorBidi" w:cstheme="majorBidi"/>
          <w:i/>
          <w:iCs/>
          <w:sz w:val="24"/>
          <w:szCs w:val="24"/>
        </w:rPr>
        <w:t>Ids</w:t>
      </w:r>
      <w:proofErr w:type="spellEnd"/>
      <w:r w:rsidRPr="00A55220">
        <w:rPr>
          <w:rFonts w:asciiTheme="majorBidi" w:hAnsiTheme="majorBidi" w:cstheme="majorBidi"/>
          <w:sz w:val="24"/>
          <w:szCs w:val="24"/>
        </w:rPr>
        <w:t xml:space="preserve">) du transistor commence à rentrer dans la zone de saturation pour une tension de polarisation de grille </w:t>
      </w:r>
      <w:proofErr w:type="spellStart"/>
      <w:r w:rsidRPr="00A55220">
        <w:rPr>
          <w:rFonts w:asciiTheme="majorBidi" w:hAnsiTheme="majorBidi" w:cstheme="majorBidi"/>
          <w:i/>
          <w:iCs/>
          <w:sz w:val="24"/>
          <w:szCs w:val="24"/>
        </w:rPr>
        <w:t>Vgs</w:t>
      </w:r>
      <w:proofErr w:type="spellEnd"/>
      <w:r w:rsidRPr="00A55220">
        <w:rPr>
          <w:rFonts w:asciiTheme="majorBidi" w:hAnsiTheme="majorBidi" w:cstheme="majorBidi"/>
          <w:i/>
          <w:iCs/>
          <w:sz w:val="24"/>
          <w:szCs w:val="24"/>
        </w:rPr>
        <w:t xml:space="preserve"> </w:t>
      </w:r>
      <w:r w:rsidRPr="00A55220">
        <w:rPr>
          <w:rFonts w:asciiTheme="majorBidi" w:hAnsiTheme="majorBidi" w:cstheme="majorBidi"/>
          <w:sz w:val="24"/>
          <w:szCs w:val="24"/>
        </w:rPr>
        <w:t>nulle.</w:t>
      </w:r>
    </w:p>
    <w:p w:rsidR="00CC019A" w:rsidRPr="00A55220" w:rsidRDefault="00140FC7" w:rsidP="00CC019A">
      <w:pPr>
        <w:pStyle w:val="Titre4"/>
        <w:spacing w:before="120"/>
        <w:rPr>
          <w:rFonts w:asciiTheme="majorBidi" w:hAnsiTheme="majorBidi" w:cstheme="majorBidi"/>
          <w:szCs w:val="24"/>
        </w:rPr>
      </w:pPr>
      <w:bookmarkStart w:id="43" w:name="_Toc418546465"/>
      <w:bookmarkStart w:id="44" w:name="_Toc418550272"/>
      <w:r w:rsidRPr="00A55220">
        <w:rPr>
          <w:rFonts w:asciiTheme="majorBidi" w:hAnsiTheme="majorBidi" w:cstheme="majorBidi"/>
          <w:szCs w:val="24"/>
        </w:rPr>
        <w:t xml:space="preserve">I.7.3. </w:t>
      </w:r>
      <w:r w:rsidR="00CC019A" w:rsidRPr="00A55220">
        <w:rPr>
          <w:rFonts w:asciiTheme="majorBidi" w:hAnsiTheme="majorBidi" w:cstheme="majorBidi"/>
          <w:szCs w:val="24"/>
        </w:rPr>
        <w:t xml:space="preserve">Contraintes et domaines d’utilisation </w:t>
      </w:r>
      <w:bookmarkEnd w:id="43"/>
      <w:bookmarkEnd w:id="44"/>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Le MESFET</w:t>
      </w:r>
      <w:r w:rsidRPr="00A55220">
        <w:rPr>
          <w:rFonts w:asciiTheme="majorBidi" w:hAnsiTheme="majorBidi" w:cstheme="majorBidi"/>
          <w:b/>
          <w:bCs/>
          <w:i/>
          <w:iCs/>
          <w:sz w:val="24"/>
        </w:rPr>
        <w:t xml:space="preserve"> </w:t>
      </w:r>
      <w:proofErr w:type="spellStart"/>
      <w:r w:rsidRPr="00A55220">
        <w:rPr>
          <w:rFonts w:asciiTheme="majorBidi" w:hAnsiTheme="majorBidi" w:cstheme="majorBidi"/>
          <w:sz w:val="24"/>
        </w:rPr>
        <w:t>GaAs</w:t>
      </w:r>
      <w:proofErr w:type="spellEnd"/>
      <w:r w:rsidRPr="00A55220">
        <w:rPr>
          <w:rFonts w:asciiTheme="majorBidi" w:hAnsiTheme="majorBidi" w:cstheme="majorBidi"/>
          <w:sz w:val="24"/>
        </w:rPr>
        <w:t xml:space="preserve"> est longtemps resté le composant à effet de champ prépondérant pour l’amplification de puissance micro-onde. En effet, les propriétés de transport électronique de l’Arséniure de Gallium permettent d’obtenir des densités de porteurs dont la vitesse moyenne dans le canal est bien supérieure à celle du Silicium. Avantage supplémentaire, le </w:t>
      </w:r>
      <w:proofErr w:type="spellStart"/>
      <w:r w:rsidRPr="00A55220">
        <w:rPr>
          <w:rFonts w:asciiTheme="majorBidi" w:hAnsiTheme="majorBidi" w:cstheme="majorBidi"/>
          <w:sz w:val="24"/>
        </w:rPr>
        <w:t>GaAs</w:t>
      </w:r>
      <w:proofErr w:type="spellEnd"/>
      <w:r w:rsidRPr="00A55220">
        <w:rPr>
          <w:rFonts w:asciiTheme="majorBidi" w:hAnsiTheme="majorBidi" w:cstheme="majorBidi"/>
          <w:sz w:val="24"/>
        </w:rPr>
        <w:t xml:space="preserve"> permet le dépôt de contacts ohmiques de bonne qualité par rapport à la plupart des autres composés III-V. Pour fournir une puissance élevée, le FET doit pouvoir délivrer un courant drain-source </w:t>
      </w:r>
      <w:proofErr w:type="spellStart"/>
      <w:r w:rsidRPr="00A55220">
        <w:rPr>
          <w:rFonts w:asciiTheme="majorBidi" w:hAnsiTheme="majorBidi" w:cstheme="majorBidi"/>
          <w:sz w:val="24"/>
        </w:rPr>
        <w:t>Ids</w:t>
      </w:r>
      <w:proofErr w:type="spellEnd"/>
      <w:r w:rsidRPr="00A55220">
        <w:rPr>
          <w:rFonts w:asciiTheme="majorBidi" w:hAnsiTheme="majorBidi" w:cstheme="majorBidi"/>
          <w:sz w:val="24"/>
        </w:rPr>
        <w:t xml:space="preserve"> le plus élevé possible tout en supportant des tensions Vds de grande amplitude. Cependant, l’obtention d’un fort courant </w:t>
      </w:r>
      <w:proofErr w:type="spellStart"/>
      <w:r w:rsidRPr="00A55220">
        <w:rPr>
          <w:rFonts w:asciiTheme="majorBidi" w:hAnsiTheme="majorBidi" w:cstheme="majorBidi"/>
          <w:sz w:val="24"/>
        </w:rPr>
        <w:t>Ids</w:t>
      </w:r>
      <w:proofErr w:type="spellEnd"/>
      <w:r w:rsidRPr="00A55220">
        <w:rPr>
          <w:rFonts w:asciiTheme="majorBidi" w:hAnsiTheme="majorBidi" w:cstheme="majorBidi"/>
          <w:b/>
          <w:bCs/>
          <w:i/>
          <w:iCs/>
          <w:sz w:val="24"/>
        </w:rPr>
        <w:t xml:space="preserve"> </w:t>
      </w:r>
      <w:r w:rsidRPr="00A55220">
        <w:rPr>
          <w:rFonts w:asciiTheme="majorBidi" w:hAnsiTheme="majorBidi" w:cstheme="majorBidi"/>
          <w:sz w:val="24"/>
        </w:rPr>
        <w:t>nécessite l’emploi de dopages élevés qui entraînent une dégradation de la tension de claquage. D’autre part, si l’on veut privilégier un fonctionnement à de très hautes fréquences, il convient de réduire la longueur de grille. La nécessité de garder un facteur d’aspect (le rapport entre la longueur de grille et l’épaisseur de la couche active) raisonnable contraint alors à diminuer l’épaisseur de cette couche active, ce qui se traduit par une diminution de courant drain-source [12].</w:t>
      </w:r>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Pour des applications de forte puissance, des MESFET</w:t>
      </w:r>
      <w:r w:rsidRPr="00A55220">
        <w:rPr>
          <w:rFonts w:asciiTheme="majorBidi" w:hAnsiTheme="majorBidi" w:cstheme="majorBidi"/>
          <w:b/>
          <w:bCs/>
          <w:i/>
          <w:iCs/>
          <w:sz w:val="24"/>
        </w:rPr>
        <w:t xml:space="preserve"> </w:t>
      </w:r>
      <w:r w:rsidRPr="00A55220">
        <w:rPr>
          <w:rFonts w:asciiTheme="majorBidi" w:hAnsiTheme="majorBidi" w:cstheme="majorBidi"/>
          <w:sz w:val="24"/>
        </w:rPr>
        <w:t xml:space="preserve">utilisant des matériaux dits à «Grand gap » présentent des caractéristiques intéressantes. Ainsi, l’utilisation du Carbure de Silicium </w:t>
      </w:r>
      <w:proofErr w:type="spellStart"/>
      <w:r w:rsidRPr="00A55220">
        <w:rPr>
          <w:rFonts w:asciiTheme="majorBidi" w:hAnsiTheme="majorBidi" w:cstheme="majorBidi"/>
          <w:sz w:val="24"/>
        </w:rPr>
        <w:t>SiC</w:t>
      </w:r>
      <w:proofErr w:type="spellEnd"/>
      <w:r w:rsidRPr="00A55220">
        <w:rPr>
          <w:rFonts w:asciiTheme="majorBidi" w:hAnsiTheme="majorBidi" w:cstheme="majorBidi"/>
          <w:sz w:val="24"/>
        </w:rPr>
        <w:t xml:space="preserve"> permet d’obtenir des performances élevées grâce à un champ de claquage huit fois plus élevée et une conductivité thermique trois fois plus élevée que le Silicium. Ces propriétés permettent d’utiliser les composants avec des tensions très élevées, de plusieurs dizaines de volts et à haute température. Compte tenu de ces performances, le domaine d’utilisation privilégié de ces composants est l’amplification de très forte puissance (Objectif &gt; 100W) pour l’émission en station de base par exemple [11</w:t>
      </w:r>
      <w:proofErr w:type="gramStart"/>
      <w:r w:rsidRPr="00A55220">
        <w:rPr>
          <w:rFonts w:asciiTheme="majorBidi" w:hAnsiTheme="majorBidi" w:cstheme="majorBidi"/>
          <w:sz w:val="24"/>
        </w:rPr>
        <w:t>][</w:t>
      </w:r>
      <w:proofErr w:type="gramEnd"/>
      <w:r w:rsidRPr="00A55220">
        <w:rPr>
          <w:rFonts w:asciiTheme="majorBidi" w:hAnsiTheme="majorBidi" w:cstheme="majorBidi"/>
          <w:sz w:val="24"/>
        </w:rPr>
        <w:t>12].</w:t>
      </w:r>
    </w:p>
    <w:p w:rsidR="00CC019A" w:rsidRPr="00FD7F8C" w:rsidRDefault="00140FC7" w:rsidP="00CC019A">
      <w:pPr>
        <w:pStyle w:val="Titre3"/>
        <w:spacing w:before="120"/>
        <w:rPr>
          <w:rFonts w:asciiTheme="majorBidi" w:hAnsiTheme="majorBidi" w:cstheme="majorBidi"/>
          <w:sz w:val="28"/>
          <w:szCs w:val="28"/>
        </w:rPr>
      </w:pPr>
      <w:bookmarkStart w:id="45" w:name="_Toc418546466"/>
      <w:bookmarkStart w:id="46" w:name="_Toc418550273"/>
      <w:r w:rsidRPr="00FD7F8C">
        <w:rPr>
          <w:rFonts w:asciiTheme="majorBidi" w:hAnsiTheme="majorBidi" w:cstheme="majorBidi"/>
          <w:sz w:val="28"/>
          <w:szCs w:val="28"/>
        </w:rPr>
        <w:t xml:space="preserve">I.8. </w:t>
      </w:r>
      <w:r w:rsidR="00CC019A" w:rsidRPr="00FD7F8C">
        <w:rPr>
          <w:rFonts w:asciiTheme="majorBidi" w:hAnsiTheme="majorBidi" w:cstheme="majorBidi"/>
          <w:sz w:val="28"/>
          <w:szCs w:val="28"/>
        </w:rPr>
        <w:t>LE TRANSISTOR HEMT</w:t>
      </w:r>
      <w:bookmarkEnd w:id="45"/>
      <w:bookmarkEnd w:id="46"/>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Les premiers transistors HEMT (High Electron </w:t>
      </w:r>
      <w:proofErr w:type="spellStart"/>
      <w:r w:rsidRPr="00A55220">
        <w:rPr>
          <w:rFonts w:asciiTheme="majorBidi" w:hAnsiTheme="majorBidi" w:cstheme="majorBidi"/>
          <w:sz w:val="24"/>
        </w:rPr>
        <w:t>Mobility</w:t>
      </w:r>
      <w:proofErr w:type="spellEnd"/>
      <w:r w:rsidRPr="00A55220">
        <w:rPr>
          <w:rFonts w:asciiTheme="majorBidi" w:hAnsiTheme="majorBidi" w:cstheme="majorBidi"/>
          <w:sz w:val="24"/>
        </w:rPr>
        <w:t xml:space="preserve"> Transistor) sont apparus en 1980 (Fujitsu, Thomson). En 1985, le HEMT est présenté comme un composant micro-onde unique ayant les plus faibles caractéristiques en bruit au monde [12].</w:t>
      </w:r>
    </w:p>
    <w:p w:rsidR="00CC019A" w:rsidRPr="00A55220" w:rsidRDefault="00CC019A" w:rsidP="00CC019A">
      <w:pPr>
        <w:autoSpaceDE w:val="0"/>
        <w:autoSpaceDN w:val="0"/>
        <w:spacing w:line="360" w:lineRule="auto"/>
        <w:rPr>
          <w:rFonts w:asciiTheme="majorBidi" w:hAnsiTheme="majorBidi" w:cstheme="majorBidi"/>
          <w:sz w:val="24"/>
        </w:rPr>
      </w:pPr>
      <w:r w:rsidRPr="00A55220">
        <w:rPr>
          <w:rFonts w:asciiTheme="majorBidi" w:hAnsiTheme="majorBidi" w:cstheme="majorBidi"/>
          <w:sz w:val="24"/>
        </w:rPr>
        <w:t xml:space="preserve">Initialement, ce transistor était utilisé dans un radiotélescope à </w:t>
      </w:r>
      <w:proofErr w:type="spellStart"/>
      <w:r w:rsidRPr="00A55220">
        <w:rPr>
          <w:rFonts w:asciiTheme="majorBidi" w:hAnsiTheme="majorBidi" w:cstheme="majorBidi"/>
          <w:sz w:val="24"/>
        </w:rPr>
        <w:t>Nobeyama</w:t>
      </w:r>
      <w:proofErr w:type="spellEnd"/>
      <w:r w:rsidRPr="00A55220">
        <w:rPr>
          <w:rFonts w:asciiTheme="majorBidi" w:hAnsiTheme="majorBidi" w:cstheme="majorBidi"/>
          <w:sz w:val="24"/>
        </w:rPr>
        <w:t xml:space="preserve">, Japon, qui présente un diamètre de 45 mètres. En refroidissant le composant à la température de l’hélium liquide, il est possible de capter un signal provenant d’une molécule interstellaire située à mille années lumières de la Terre. Plus tard, le HEMT sera implanté dans des récepteurs de télévision pour </w:t>
      </w:r>
      <w:r w:rsidRPr="00A55220">
        <w:rPr>
          <w:rFonts w:asciiTheme="majorBidi" w:hAnsiTheme="majorBidi" w:cstheme="majorBidi"/>
          <w:sz w:val="24"/>
        </w:rPr>
        <w:lastRenderedPageBreak/>
        <w:t>capter les signaux des satellites géostationnaires (36000km d’altitude). Puis petit à petit, ce composant se fera une place dans notre quotidien. Le HEMT constitue une évolution majeure du MESFET et a pris le pas sur ce dernier depuis le début des années 1990 [8].</w:t>
      </w:r>
    </w:p>
    <w:p w:rsidR="00CC019A" w:rsidRPr="00A55220" w:rsidRDefault="00140FC7" w:rsidP="00CC019A">
      <w:pPr>
        <w:pStyle w:val="Titre4"/>
        <w:spacing w:before="120"/>
        <w:rPr>
          <w:rFonts w:asciiTheme="majorBidi" w:hAnsiTheme="majorBidi" w:cstheme="majorBidi"/>
          <w:szCs w:val="24"/>
        </w:rPr>
      </w:pPr>
      <w:bookmarkStart w:id="47" w:name="_Toc418546467"/>
      <w:bookmarkStart w:id="48" w:name="_Toc418550274"/>
      <w:r w:rsidRPr="00A55220">
        <w:rPr>
          <w:rFonts w:asciiTheme="majorBidi" w:hAnsiTheme="majorBidi" w:cstheme="majorBidi"/>
          <w:szCs w:val="24"/>
        </w:rPr>
        <w:t xml:space="preserve">I.8.1. </w:t>
      </w:r>
      <w:r w:rsidR="00CC019A" w:rsidRPr="00A55220">
        <w:rPr>
          <w:rFonts w:asciiTheme="majorBidi" w:hAnsiTheme="majorBidi" w:cstheme="majorBidi"/>
          <w:szCs w:val="24"/>
        </w:rPr>
        <w:t>Structure et Description</w:t>
      </w:r>
      <w:bookmarkEnd w:id="47"/>
      <w:bookmarkEnd w:id="48"/>
    </w:p>
    <w:p w:rsidR="00CC019A" w:rsidRPr="00A55220" w:rsidRDefault="00CC019A" w:rsidP="00CC019A">
      <w:pPr>
        <w:autoSpaceDE w:val="0"/>
        <w:autoSpaceDN w:val="0"/>
        <w:spacing w:line="360" w:lineRule="auto"/>
        <w:rPr>
          <w:rFonts w:asciiTheme="majorBidi" w:hAnsiTheme="majorBidi" w:cstheme="majorBidi"/>
          <w:b/>
          <w:bCs/>
          <w:i/>
          <w:iCs/>
          <w:sz w:val="24"/>
        </w:rPr>
      </w:pPr>
    </w:p>
    <w:p w:rsidR="00CC019A" w:rsidRPr="00A55220" w:rsidRDefault="00CC019A" w:rsidP="00CC019A">
      <w:pPr>
        <w:autoSpaceDE w:val="0"/>
        <w:autoSpaceDN w:val="0"/>
        <w:spacing w:line="360" w:lineRule="auto"/>
        <w:jc w:val="center"/>
        <w:rPr>
          <w:rFonts w:asciiTheme="majorBidi" w:hAnsiTheme="majorBidi" w:cstheme="majorBidi"/>
          <w:sz w:val="24"/>
        </w:rPr>
      </w:pPr>
      <w:r w:rsidRPr="00A55220">
        <w:rPr>
          <w:rFonts w:asciiTheme="majorBidi" w:hAnsiTheme="majorBidi" w:cstheme="majorBidi"/>
          <w:noProof/>
          <w:sz w:val="24"/>
        </w:rPr>
        <w:drawing>
          <wp:inline distT="0" distB="0" distL="0" distR="0">
            <wp:extent cx="4579008" cy="2160000"/>
            <wp:effectExtent l="19050" t="0" r="0" b="0"/>
            <wp:docPr id="5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srcRect/>
                    <a:stretch>
                      <a:fillRect/>
                    </a:stretch>
                  </pic:blipFill>
                  <pic:spPr bwMode="auto">
                    <a:xfrm>
                      <a:off x="0" y="0"/>
                      <a:ext cx="4579008" cy="2160000"/>
                    </a:xfrm>
                    <a:prstGeom prst="rect">
                      <a:avLst/>
                    </a:prstGeom>
                    <a:noFill/>
                    <a:ln w="9525">
                      <a:noFill/>
                      <a:miter lim="800000"/>
                      <a:headEnd/>
                      <a:tailEnd/>
                    </a:ln>
                  </pic:spPr>
                </pic:pic>
              </a:graphicData>
            </a:graphic>
          </wp:inline>
        </w:drawing>
      </w:r>
    </w:p>
    <w:p w:rsidR="00FD7F8C" w:rsidRDefault="00CC019A" w:rsidP="00404F1E">
      <w:pPr>
        <w:pStyle w:val="Lgende"/>
        <w:jc w:val="center"/>
        <w:rPr>
          <w:rFonts w:cstheme="majorBidi"/>
          <w:b w:val="0"/>
          <w:bCs w:val="0"/>
          <w:szCs w:val="22"/>
        </w:rPr>
      </w:pPr>
      <w:r w:rsidRPr="00FD7F8C">
        <w:rPr>
          <w:rFonts w:cstheme="majorBidi"/>
          <w:szCs w:val="22"/>
        </w:rPr>
        <w:t>Fig</w:t>
      </w:r>
      <w:r w:rsidR="00404F1E">
        <w:rPr>
          <w:rFonts w:cstheme="majorBidi"/>
          <w:szCs w:val="22"/>
        </w:rPr>
        <w:t>.</w:t>
      </w:r>
      <w:r w:rsidRPr="00FD7F8C">
        <w:rPr>
          <w:rFonts w:cstheme="majorBidi"/>
          <w:szCs w:val="22"/>
        </w:rPr>
        <w:t xml:space="preserve"> </w:t>
      </w:r>
      <w:r w:rsidR="00140FC7" w:rsidRPr="00FD7F8C">
        <w:rPr>
          <w:rFonts w:cstheme="majorBidi"/>
          <w:szCs w:val="22"/>
        </w:rPr>
        <w:t>I</w:t>
      </w:r>
      <w:r w:rsidRPr="00FD7F8C">
        <w:rPr>
          <w:rFonts w:cstheme="majorBidi"/>
          <w:szCs w:val="22"/>
        </w:rPr>
        <w:t>.12.</w:t>
      </w:r>
      <w:r w:rsidRPr="00FD7F8C">
        <w:rPr>
          <w:rFonts w:cstheme="majorBidi"/>
          <w:b w:val="0"/>
          <w:bCs w:val="0"/>
          <w:szCs w:val="22"/>
        </w:rPr>
        <w:t xml:space="preserve"> Structure de principe d’un HEMT classique associée à son diagramme </w:t>
      </w:r>
    </w:p>
    <w:p w:rsidR="00CC019A" w:rsidRPr="00FD7F8C" w:rsidRDefault="00FD7F8C" w:rsidP="00FD7F8C">
      <w:pPr>
        <w:pStyle w:val="Lgende"/>
        <w:jc w:val="center"/>
        <w:rPr>
          <w:rFonts w:cstheme="majorBidi"/>
          <w:b w:val="0"/>
          <w:bCs w:val="0"/>
          <w:szCs w:val="22"/>
        </w:rPr>
      </w:pPr>
      <w:proofErr w:type="gramStart"/>
      <w:r>
        <w:rPr>
          <w:rFonts w:cstheme="majorBidi"/>
          <w:b w:val="0"/>
          <w:bCs w:val="0"/>
          <w:szCs w:val="22"/>
        </w:rPr>
        <w:t>d</w:t>
      </w:r>
      <w:r w:rsidR="00CC019A" w:rsidRPr="00FD7F8C">
        <w:rPr>
          <w:rFonts w:cstheme="majorBidi"/>
          <w:b w:val="0"/>
          <w:bCs w:val="0"/>
          <w:szCs w:val="22"/>
        </w:rPr>
        <w:t>e</w:t>
      </w:r>
      <w:proofErr w:type="gramEnd"/>
      <w:r>
        <w:rPr>
          <w:rFonts w:cstheme="majorBidi"/>
          <w:b w:val="0"/>
          <w:bCs w:val="0"/>
          <w:szCs w:val="22"/>
        </w:rPr>
        <w:t xml:space="preserve"> </w:t>
      </w:r>
      <w:r w:rsidR="00CC019A" w:rsidRPr="00FD7F8C">
        <w:rPr>
          <w:rFonts w:cstheme="majorBidi"/>
          <w:b w:val="0"/>
          <w:bCs w:val="0"/>
          <w:szCs w:val="22"/>
        </w:rPr>
        <w:t>bande d’énergie</w:t>
      </w:r>
    </w:p>
    <w:p w:rsidR="00CC019A" w:rsidRPr="00A55220" w:rsidRDefault="00CC019A" w:rsidP="00140FC7">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La figure </w:t>
      </w:r>
      <w:r w:rsidR="00140FC7" w:rsidRPr="00A55220">
        <w:rPr>
          <w:rFonts w:asciiTheme="majorBidi" w:hAnsiTheme="majorBidi" w:cstheme="majorBidi"/>
          <w:sz w:val="24"/>
        </w:rPr>
        <w:t>I</w:t>
      </w:r>
      <w:r w:rsidRPr="00A55220">
        <w:rPr>
          <w:rFonts w:asciiTheme="majorBidi" w:hAnsiTheme="majorBidi" w:cstheme="majorBidi"/>
          <w:sz w:val="24"/>
        </w:rPr>
        <w:t>.12 représente la structure de couches ainsi que le diagramme de bande d’énergie d’un HEMT</w:t>
      </w:r>
      <w:r w:rsidRPr="00A55220">
        <w:rPr>
          <w:rFonts w:asciiTheme="majorBidi" w:hAnsiTheme="majorBidi" w:cstheme="majorBidi"/>
          <w:b/>
          <w:bCs/>
          <w:i/>
          <w:iCs/>
          <w:sz w:val="24"/>
        </w:rPr>
        <w:t xml:space="preserve"> </w:t>
      </w:r>
      <w:r w:rsidRPr="00A55220">
        <w:rPr>
          <w:rFonts w:asciiTheme="majorBidi" w:hAnsiTheme="majorBidi" w:cstheme="majorBidi"/>
          <w:sz w:val="24"/>
        </w:rPr>
        <w:t xml:space="preserve">classique utilisant le </w:t>
      </w:r>
      <w:proofErr w:type="spellStart"/>
      <w:r w:rsidRPr="00A55220">
        <w:rPr>
          <w:rFonts w:asciiTheme="majorBidi" w:hAnsiTheme="majorBidi" w:cstheme="majorBidi"/>
          <w:sz w:val="24"/>
        </w:rPr>
        <w:t>GaAs</w:t>
      </w:r>
      <w:proofErr w:type="spellEnd"/>
      <w:r w:rsidRPr="00A55220">
        <w:rPr>
          <w:rFonts w:asciiTheme="majorBidi" w:hAnsiTheme="majorBidi" w:cstheme="majorBidi"/>
          <w:sz w:val="24"/>
        </w:rPr>
        <w:t xml:space="preserve"> et l’</w:t>
      </w:r>
      <w:proofErr w:type="spellStart"/>
      <w:r w:rsidRPr="00A55220">
        <w:rPr>
          <w:rFonts w:asciiTheme="majorBidi" w:hAnsiTheme="majorBidi" w:cstheme="majorBidi"/>
          <w:sz w:val="24"/>
        </w:rPr>
        <w:t>AlGaAs</w:t>
      </w:r>
      <w:proofErr w:type="spellEnd"/>
      <w:r w:rsidRPr="00A55220">
        <w:rPr>
          <w:rFonts w:asciiTheme="majorBidi" w:hAnsiTheme="majorBidi" w:cstheme="majorBidi"/>
          <w:sz w:val="24"/>
        </w:rPr>
        <w:t xml:space="preserve"> comme couches actives. La couche de surface utilise l’</w:t>
      </w:r>
      <w:proofErr w:type="spellStart"/>
      <w:r w:rsidRPr="00A55220">
        <w:rPr>
          <w:rFonts w:asciiTheme="majorBidi" w:hAnsiTheme="majorBidi" w:cstheme="majorBidi"/>
          <w:sz w:val="24"/>
        </w:rPr>
        <w:t>AlGaAs</w:t>
      </w:r>
      <w:proofErr w:type="spellEnd"/>
      <w:r w:rsidRPr="00A55220">
        <w:rPr>
          <w:rFonts w:asciiTheme="majorBidi" w:hAnsiTheme="majorBidi" w:cstheme="majorBidi"/>
          <w:sz w:val="24"/>
        </w:rPr>
        <w:t xml:space="preserve"> fortement dopé N avec un grand gap se comportant ainsi comme un isolant. En revanche, le canal, non dopé, est composé d’un matériau à faible gap (</w:t>
      </w:r>
      <w:proofErr w:type="spellStart"/>
      <w:r w:rsidRPr="00A55220">
        <w:rPr>
          <w:rFonts w:asciiTheme="majorBidi" w:hAnsiTheme="majorBidi" w:cstheme="majorBidi"/>
          <w:sz w:val="24"/>
        </w:rPr>
        <w:t>GaAs</w:t>
      </w:r>
      <w:proofErr w:type="spellEnd"/>
      <w:r w:rsidRPr="00A55220">
        <w:rPr>
          <w:rFonts w:asciiTheme="majorBidi" w:hAnsiTheme="majorBidi" w:cstheme="majorBidi"/>
          <w:sz w:val="24"/>
        </w:rPr>
        <w:t>). De ce fait, des électrons libres diffusent de l’</w:t>
      </w:r>
      <w:proofErr w:type="spellStart"/>
      <w:r w:rsidRPr="00A55220">
        <w:rPr>
          <w:rFonts w:asciiTheme="majorBidi" w:hAnsiTheme="majorBidi" w:cstheme="majorBidi"/>
          <w:sz w:val="24"/>
        </w:rPr>
        <w:t>AlGaAs</w:t>
      </w:r>
      <w:proofErr w:type="spellEnd"/>
      <w:r w:rsidRPr="00A55220">
        <w:rPr>
          <w:rFonts w:asciiTheme="majorBidi" w:hAnsiTheme="majorBidi" w:cstheme="majorBidi"/>
          <w:sz w:val="24"/>
        </w:rPr>
        <w:t xml:space="preserve"> vers la couche </w:t>
      </w:r>
      <w:proofErr w:type="spellStart"/>
      <w:r w:rsidRPr="00A55220">
        <w:rPr>
          <w:rFonts w:asciiTheme="majorBidi" w:hAnsiTheme="majorBidi" w:cstheme="majorBidi"/>
          <w:sz w:val="24"/>
        </w:rPr>
        <w:t>GaAs</w:t>
      </w:r>
      <w:proofErr w:type="spellEnd"/>
      <w:r w:rsidRPr="00A55220">
        <w:rPr>
          <w:rFonts w:asciiTheme="majorBidi" w:hAnsiTheme="majorBidi" w:cstheme="majorBidi"/>
          <w:sz w:val="24"/>
        </w:rPr>
        <w:t xml:space="preserve"> laissant la zone N de grand gap </w:t>
      </w:r>
      <w:proofErr w:type="spellStart"/>
      <w:r w:rsidRPr="00A55220">
        <w:rPr>
          <w:rFonts w:asciiTheme="majorBidi" w:hAnsiTheme="majorBidi" w:cstheme="majorBidi"/>
          <w:sz w:val="24"/>
        </w:rPr>
        <w:t>déplétée</w:t>
      </w:r>
      <w:proofErr w:type="spellEnd"/>
      <w:r w:rsidRPr="00A55220">
        <w:rPr>
          <w:rFonts w:asciiTheme="majorBidi" w:hAnsiTheme="majorBidi" w:cstheme="majorBidi"/>
          <w:sz w:val="24"/>
        </w:rPr>
        <w:t xml:space="preserve"> et donc chargée positivement. Ces électrons s’accumulent à l’</w:t>
      </w:r>
      <w:proofErr w:type="spellStart"/>
      <w:r w:rsidRPr="00A55220">
        <w:rPr>
          <w:rFonts w:asciiTheme="majorBidi" w:hAnsiTheme="majorBidi" w:cstheme="majorBidi"/>
          <w:sz w:val="24"/>
        </w:rPr>
        <w:t>hétérointerface</w:t>
      </w:r>
      <w:proofErr w:type="spellEnd"/>
      <w:r w:rsidRPr="00A55220">
        <w:rPr>
          <w:rFonts w:asciiTheme="majorBidi" w:hAnsiTheme="majorBidi" w:cstheme="majorBidi"/>
          <w:sz w:val="24"/>
        </w:rPr>
        <w:t xml:space="preserve"> (grand gap / petit gap) formant ainsi un gaz d’électrons à deux dimensions plus ou moins profond suivant la polarisation de la tension de grille. Les propriétés de transport de ce gaz d’électrons sont considérablement supérieures à celles des électrons libres dans un MESFET classique puisque le canal se situe dans une zone non dopée à très forte mobilité. De plus, les collisions entre électrons n’ont que rarement lieu en raison de défauts peu nombreux. Pour ces différentes raisons, le HEMT</w:t>
      </w:r>
      <w:r w:rsidRPr="00A55220">
        <w:rPr>
          <w:rFonts w:asciiTheme="majorBidi" w:hAnsiTheme="majorBidi" w:cstheme="majorBidi"/>
          <w:b/>
          <w:bCs/>
          <w:i/>
          <w:iCs/>
          <w:sz w:val="24"/>
        </w:rPr>
        <w:t xml:space="preserve"> </w:t>
      </w:r>
      <w:r w:rsidRPr="00A55220">
        <w:rPr>
          <w:rFonts w:asciiTheme="majorBidi" w:hAnsiTheme="majorBidi" w:cstheme="majorBidi"/>
          <w:sz w:val="24"/>
        </w:rPr>
        <w:t>est un dispositif à très fort gain et à très faible bruit HF [13</w:t>
      </w:r>
      <w:proofErr w:type="gramStart"/>
      <w:r w:rsidRPr="00A55220">
        <w:rPr>
          <w:rFonts w:asciiTheme="majorBidi" w:hAnsiTheme="majorBidi" w:cstheme="majorBidi"/>
          <w:sz w:val="24"/>
        </w:rPr>
        <w:t>][</w:t>
      </w:r>
      <w:proofErr w:type="gramEnd"/>
      <w:r w:rsidRPr="00A55220">
        <w:rPr>
          <w:rFonts w:asciiTheme="majorBidi" w:hAnsiTheme="majorBidi" w:cstheme="majorBidi"/>
          <w:sz w:val="24"/>
        </w:rPr>
        <w:t>8].</w:t>
      </w:r>
    </w:p>
    <w:p w:rsidR="00CC019A" w:rsidRPr="00A55220" w:rsidRDefault="00140FC7" w:rsidP="00CC019A">
      <w:pPr>
        <w:pStyle w:val="Titre4"/>
        <w:spacing w:before="120"/>
        <w:rPr>
          <w:rFonts w:asciiTheme="majorBidi" w:hAnsiTheme="majorBidi" w:cstheme="majorBidi"/>
          <w:szCs w:val="24"/>
        </w:rPr>
      </w:pPr>
      <w:bookmarkStart w:id="49" w:name="_Toc418546468"/>
      <w:bookmarkStart w:id="50" w:name="_Toc418550275"/>
      <w:r w:rsidRPr="00A55220">
        <w:rPr>
          <w:rFonts w:asciiTheme="majorBidi" w:hAnsiTheme="majorBidi" w:cstheme="majorBidi"/>
          <w:szCs w:val="24"/>
        </w:rPr>
        <w:t xml:space="preserve">I.8.2. </w:t>
      </w:r>
      <w:r w:rsidR="00CC019A" w:rsidRPr="00A55220">
        <w:rPr>
          <w:rFonts w:asciiTheme="majorBidi" w:hAnsiTheme="majorBidi" w:cstheme="majorBidi"/>
          <w:szCs w:val="24"/>
        </w:rPr>
        <w:t>Principe de fonctionnement</w:t>
      </w:r>
      <w:bookmarkEnd w:id="49"/>
      <w:bookmarkEnd w:id="50"/>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La structure des couches des HEMT est réalisée de façon à séparer physiquement les électrons libres dans le canal des donneurs ionisés, ceci afin d’augmenter la mobilité des électrons par la réduction de la répartition des impuretés ionisées. Ainsi la différence </w:t>
      </w:r>
      <w:r w:rsidRPr="00A55220">
        <w:rPr>
          <w:rFonts w:asciiTheme="majorBidi" w:hAnsiTheme="majorBidi" w:cstheme="majorBidi"/>
          <w:sz w:val="24"/>
        </w:rPr>
        <w:lastRenderedPageBreak/>
        <w:t>essentielle entre les MESFET et les HEMT se situe au niveau du principe même du contrôle du courant dans le canal.</w:t>
      </w:r>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Alors que dans le cas du MESFET, l'électrode de grille contrôle la section du canal disponible pour la conduction, dans le cas du HEMT, elle contrôle la densité d'un gaz d'électrons libres dans une zone non dopée située sous l'</w:t>
      </w:r>
      <w:proofErr w:type="spellStart"/>
      <w:r w:rsidRPr="00A55220">
        <w:rPr>
          <w:rFonts w:asciiTheme="majorBidi" w:hAnsiTheme="majorBidi" w:cstheme="majorBidi"/>
          <w:sz w:val="24"/>
        </w:rPr>
        <w:t>hétérointerface</w:t>
      </w:r>
      <w:proofErr w:type="spellEnd"/>
      <w:r w:rsidRPr="00A55220">
        <w:rPr>
          <w:rFonts w:asciiTheme="majorBidi" w:hAnsiTheme="majorBidi" w:cstheme="majorBidi"/>
          <w:sz w:val="24"/>
        </w:rPr>
        <w:t xml:space="preserve"> qui constitue le canal du transistor.</w:t>
      </w:r>
    </w:p>
    <w:p w:rsidR="00CC019A" w:rsidRPr="00A55220" w:rsidRDefault="00CC019A" w:rsidP="00140FC7">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 xml:space="preserve">Le gaz d’électrons étant créé, il est possible de contrôler la densité de porteurs dans le canal par l’intermédiaire de la tension appliquée sur la grille. La figure </w:t>
      </w:r>
      <w:r w:rsidR="00140FC7" w:rsidRPr="00A55220">
        <w:rPr>
          <w:rFonts w:asciiTheme="majorBidi" w:hAnsiTheme="majorBidi" w:cstheme="majorBidi"/>
          <w:sz w:val="24"/>
        </w:rPr>
        <w:t>I</w:t>
      </w:r>
      <w:r w:rsidRPr="00A55220">
        <w:rPr>
          <w:rFonts w:asciiTheme="majorBidi" w:hAnsiTheme="majorBidi" w:cstheme="majorBidi"/>
          <w:sz w:val="24"/>
        </w:rPr>
        <w:t xml:space="preserve">.13 présente les diagrammes de bande de la zone située sous la grille en fonction de la polarisation de grille appliquée. Lorsque la tension </w:t>
      </w:r>
      <w:proofErr w:type="spellStart"/>
      <w:r w:rsidRPr="00A55220">
        <w:rPr>
          <w:rFonts w:asciiTheme="majorBidi" w:hAnsiTheme="majorBidi" w:cstheme="majorBidi"/>
          <w:sz w:val="24"/>
        </w:rPr>
        <w:t>Vgs</w:t>
      </w:r>
      <w:proofErr w:type="spellEnd"/>
      <w:r w:rsidRPr="00A55220">
        <w:rPr>
          <w:rFonts w:asciiTheme="majorBidi" w:hAnsiTheme="majorBidi" w:cstheme="majorBidi"/>
          <w:sz w:val="24"/>
        </w:rPr>
        <w:t xml:space="preserve"> augmente, le puits de potentiel devient de plus en plus profond, permettant à un nombre plus grand d’électrons de diffuser dans le </w:t>
      </w:r>
      <w:proofErr w:type="spellStart"/>
      <w:r w:rsidRPr="00A55220">
        <w:rPr>
          <w:rFonts w:asciiTheme="majorBidi" w:hAnsiTheme="majorBidi" w:cstheme="majorBidi"/>
          <w:sz w:val="24"/>
        </w:rPr>
        <w:t>GaAs</w:t>
      </w:r>
      <w:proofErr w:type="spellEnd"/>
      <w:r w:rsidRPr="00A55220">
        <w:rPr>
          <w:rFonts w:asciiTheme="majorBidi" w:hAnsiTheme="majorBidi" w:cstheme="majorBidi"/>
          <w:sz w:val="24"/>
        </w:rPr>
        <w:t xml:space="preserve">. Comme pour le MESFET, la tension Vds crée un champ électrique dans le canal qui entraîne les électrons de la source vers le drain, formant ainsi un courant </w:t>
      </w:r>
      <w:proofErr w:type="spellStart"/>
      <w:r w:rsidRPr="00A55220">
        <w:rPr>
          <w:rFonts w:asciiTheme="majorBidi" w:hAnsiTheme="majorBidi" w:cstheme="majorBidi"/>
          <w:sz w:val="24"/>
        </w:rPr>
        <w:t>Ids</w:t>
      </w:r>
      <w:proofErr w:type="spellEnd"/>
      <w:r w:rsidRPr="00A55220">
        <w:rPr>
          <w:rFonts w:asciiTheme="majorBidi" w:hAnsiTheme="majorBidi" w:cstheme="majorBidi"/>
          <w:sz w:val="24"/>
        </w:rPr>
        <w:t xml:space="preserve"> (drain-source). Pour des tensions de grille suffisamment négatives, la densité de porteurs dans le canal devient négligeable et aucun courant significatif ne circule dans le canal. Le HEMT</w:t>
      </w:r>
      <w:r w:rsidRPr="00A55220">
        <w:rPr>
          <w:rFonts w:asciiTheme="majorBidi" w:hAnsiTheme="majorBidi" w:cstheme="majorBidi"/>
          <w:b/>
          <w:bCs/>
          <w:i/>
          <w:iCs/>
          <w:sz w:val="24"/>
        </w:rPr>
        <w:t xml:space="preserve"> </w:t>
      </w:r>
      <w:r w:rsidRPr="00A55220">
        <w:rPr>
          <w:rFonts w:asciiTheme="majorBidi" w:hAnsiTheme="majorBidi" w:cstheme="majorBidi"/>
          <w:sz w:val="24"/>
        </w:rPr>
        <w:t xml:space="preserve">est alors pincé. L’évolution du courant de drain en fonction de la tension de drain et pour différentes valeurs de la tension de grille est sensiblement la même que pour le MESFET. De plus, un effet de saturation de courant intervient également pour le HEMT. Il provient de la limite de vélocité des électrons [13]. </w:t>
      </w:r>
    </w:p>
    <w:p w:rsidR="00CC019A" w:rsidRPr="00A55220" w:rsidRDefault="00CC019A" w:rsidP="00CC019A">
      <w:pPr>
        <w:autoSpaceDE w:val="0"/>
        <w:autoSpaceDN w:val="0"/>
        <w:spacing w:line="360" w:lineRule="auto"/>
        <w:rPr>
          <w:rFonts w:asciiTheme="majorBidi" w:hAnsiTheme="majorBidi" w:cstheme="majorBidi"/>
          <w:sz w:val="24"/>
        </w:rPr>
      </w:pPr>
    </w:p>
    <w:p w:rsidR="00CC019A" w:rsidRPr="00A55220" w:rsidRDefault="00CC019A" w:rsidP="00CC019A">
      <w:pPr>
        <w:autoSpaceDE w:val="0"/>
        <w:autoSpaceDN w:val="0"/>
        <w:spacing w:line="360" w:lineRule="auto"/>
        <w:jc w:val="center"/>
        <w:rPr>
          <w:rFonts w:asciiTheme="majorBidi" w:hAnsiTheme="majorBidi" w:cstheme="majorBidi"/>
          <w:sz w:val="24"/>
        </w:rPr>
      </w:pPr>
      <w:r w:rsidRPr="00A55220">
        <w:rPr>
          <w:rFonts w:asciiTheme="majorBidi" w:hAnsiTheme="majorBidi" w:cstheme="majorBidi"/>
          <w:noProof/>
          <w:sz w:val="24"/>
        </w:rPr>
        <w:drawing>
          <wp:inline distT="0" distB="0" distL="0" distR="0">
            <wp:extent cx="5759450" cy="2353653"/>
            <wp:effectExtent l="19050" t="0" r="0" b="0"/>
            <wp:docPr id="59"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srcRect/>
                    <a:stretch>
                      <a:fillRect/>
                    </a:stretch>
                  </pic:blipFill>
                  <pic:spPr bwMode="auto">
                    <a:xfrm>
                      <a:off x="0" y="0"/>
                      <a:ext cx="5759450" cy="2353653"/>
                    </a:xfrm>
                    <a:prstGeom prst="rect">
                      <a:avLst/>
                    </a:prstGeom>
                    <a:noFill/>
                    <a:ln w="9525">
                      <a:noFill/>
                      <a:miter lim="800000"/>
                      <a:headEnd/>
                      <a:tailEnd/>
                    </a:ln>
                  </pic:spPr>
                </pic:pic>
              </a:graphicData>
            </a:graphic>
          </wp:inline>
        </w:drawing>
      </w:r>
    </w:p>
    <w:p w:rsidR="00CC019A" w:rsidRPr="00FD7F8C" w:rsidRDefault="00140FC7" w:rsidP="00CC019A">
      <w:pPr>
        <w:pStyle w:val="Lgende"/>
        <w:jc w:val="center"/>
        <w:rPr>
          <w:rFonts w:cstheme="majorBidi"/>
          <w:b w:val="0"/>
          <w:bCs w:val="0"/>
          <w:szCs w:val="22"/>
        </w:rPr>
      </w:pPr>
      <w:r w:rsidRPr="00FD7F8C">
        <w:rPr>
          <w:rFonts w:cstheme="majorBidi"/>
          <w:szCs w:val="22"/>
        </w:rPr>
        <w:t>Fig. I</w:t>
      </w:r>
      <w:r w:rsidR="00CC019A" w:rsidRPr="00FD7F8C">
        <w:rPr>
          <w:rFonts w:cstheme="majorBidi"/>
          <w:szCs w:val="22"/>
        </w:rPr>
        <w:t>.13.</w:t>
      </w:r>
      <w:r w:rsidR="00CC019A" w:rsidRPr="00FD7F8C">
        <w:rPr>
          <w:rFonts w:cstheme="majorBidi"/>
          <w:b w:val="0"/>
          <w:bCs w:val="0"/>
          <w:szCs w:val="22"/>
        </w:rPr>
        <w:t xml:space="preserve"> Influence de la polarisation de grille sur le diagramme de bande.</w:t>
      </w:r>
    </w:p>
    <w:p w:rsidR="00CC019A" w:rsidRPr="00A55220" w:rsidRDefault="00140FC7" w:rsidP="00CC019A">
      <w:pPr>
        <w:pStyle w:val="Titre4"/>
        <w:spacing w:before="120"/>
        <w:rPr>
          <w:rFonts w:asciiTheme="majorBidi" w:hAnsiTheme="majorBidi" w:cstheme="majorBidi"/>
          <w:szCs w:val="24"/>
        </w:rPr>
      </w:pPr>
      <w:bookmarkStart w:id="51" w:name="_Toc418546469"/>
      <w:bookmarkStart w:id="52" w:name="_Toc418550276"/>
      <w:r w:rsidRPr="00A55220">
        <w:rPr>
          <w:rFonts w:asciiTheme="majorBidi" w:hAnsiTheme="majorBidi" w:cstheme="majorBidi"/>
          <w:szCs w:val="24"/>
        </w:rPr>
        <w:t xml:space="preserve">I.8.3. </w:t>
      </w:r>
      <w:r w:rsidR="00CC019A" w:rsidRPr="00A55220">
        <w:rPr>
          <w:rFonts w:asciiTheme="majorBidi" w:hAnsiTheme="majorBidi" w:cstheme="majorBidi"/>
          <w:szCs w:val="24"/>
        </w:rPr>
        <w:t xml:space="preserve">Contraintes et domaines d’utilisation </w:t>
      </w:r>
      <w:bookmarkEnd w:id="51"/>
      <w:bookmarkEnd w:id="52"/>
    </w:p>
    <w:p w:rsidR="00CC019A" w:rsidRPr="00A55220" w:rsidRDefault="00CC019A" w:rsidP="00CC019A">
      <w:pPr>
        <w:autoSpaceDE w:val="0"/>
        <w:autoSpaceDN w:val="0"/>
        <w:spacing w:line="360" w:lineRule="auto"/>
        <w:ind w:firstLine="426"/>
        <w:rPr>
          <w:rFonts w:asciiTheme="majorBidi" w:hAnsiTheme="majorBidi" w:cstheme="majorBidi"/>
          <w:sz w:val="24"/>
        </w:rPr>
      </w:pPr>
      <w:r w:rsidRPr="00A55220">
        <w:rPr>
          <w:rFonts w:asciiTheme="majorBidi" w:hAnsiTheme="majorBidi" w:cstheme="majorBidi"/>
          <w:sz w:val="24"/>
        </w:rPr>
        <w:t>Si le HEMT</w:t>
      </w:r>
      <w:r w:rsidRPr="00A55220">
        <w:rPr>
          <w:rFonts w:asciiTheme="majorBidi" w:hAnsiTheme="majorBidi" w:cstheme="majorBidi"/>
          <w:b/>
          <w:bCs/>
          <w:i/>
          <w:iCs/>
          <w:sz w:val="24"/>
        </w:rPr>
        <w:t xml:space="preserve"> </w:t>
      </w:r>
      <w:r w:rsidRPr="00A55220">
        <w:rPr>
          <w:rFonts w:asciiTheme="majorBidi" w:hAnsiTheme="majorBidi" w:cstheme="majorBidi"/>
          <w:sz w:val="24"/>
        </w:rPr>
        <w:t xml:space="preserve">a permis des utilisations en fréquence bien plus hautes que celles du MESFET, sa limite fréquentielle est de l’ordre de 60-70 GHz. Cette limite est principalement </w:t>
      </w:r>
      <w:r w:rsidRPr="00A55220">
        <w:rPr>
          <w:rFonts w:asciiTheme="majorBidi" w:hAnsiTheme="majorBidi" w:cstheme="majorBidi"/>
          <w:sz w:val="24"/>
        </w:rPr>
        <w:lastRenderedPageBreak/>
        <w:t>due aux propriétés de transport du matériau intrinsèque, c’est-à-dire l’Arséniure de Gallium. De plus le HEMT</w:t>
      </w:r>
      <w:r w:rsidRPr="00A55220">
        <w:rPr>
          <w:rFonts w:asciiTheme="majorBidi" w:hAnsiTheme="majorBidi" w:cstheme="majorBidi"/>
          <w:b/>
          <w:bCs/>
          <w:i/>
          <w:iCs/>
          <w:sz w:val="24"/>
        </w:rPr>
        <w:t xml:space="preserve"> </w:t>
      </w:r>
      <w:r w:rsidRPr="00A55220">
        <w:rPr>
          <w:rFonts w:asciiTheme="majorBidi" w:hAnsiTheme="majorBidi" w:cstheme="majorBidi"/>
          <w:sz w:val="24"/>
        </w:rPr>
        <w:t xml:space="preserve">génère un bruit basse fréquence élevé. Il est le composant privilégié pour des applications de puissance hautes fréquences ainsi que pour des applications à faible bruit telles que les circuits de pré-amplification des satellites ou encore les oscillateurs. En conséquence pour satisfaire aux besoins sans cesse croissants de montée en fréquence, l’idée de base a été de remplacer le </w:t>
      </w:r>
      <w:proofErr w:type="spellStart"/>
      <w:r w:rsidRPr="00A55220">
        <w:rPr>
          <w:rFonts w:asciiTheme="majorBidi" w:hAnsiTheme="majorBidi" w:cstheme="majorBidi"/>
          <w:sz w:val="24"/>
        </w:rPr>
        <w:t>GaAs</w:t>
      </w:r>
      <w:proofErr w:type="spellEnd"/>
      <w:r w:rsidRPr="00A55220">
        <w:rPr>
          <w:rFonts w:asciiTheme="majorBidi" w:hAnsiTheme="majorBidi" w:cstheme="majorBidi"/>
          <w:sz w:val="24"/>
        </w:rPr>
        <w:t xml:space="preserve"> du canal par un autre matériau à faible gap autorisant une vitesse Vs à fort champ électrique la plus élevée possible : l’</w:t>
      </w:r>
      <w:proofErr w:type="spellStart"/>
      <w:r w:rsidRPr="00A55220">
        <w:rPr>
          <w:rFonts w:asciiTheme="majorBidi" w:hAnsiTheme="majorBidi" w:cstheme="majorBidi"/>
          <w:sz w:val="24"/>
        </w:rPr>
        <w:t>InGaAs</w:t>
      </w:r>
      <w:proofErr w:type="spellEnd"/>
      <w:r w:rsidRPr="00A55220">
        <w:rPr>
          <w:rFonts w:asciiTheme="majorBidi" w:hAnsiTheme="majorBidi" w:cstheme="majorBidi"/>
          <w:sz w:val="24"/>
        </w:rPr>
        <w:t xml:space="preserve">. Les récents progrès technologiques en matière d’épitaxie ont donc donné naissance à un nouveau type de transistor à hétérojonction : le HEMT </w:t>
      </w:r>
      <w:proofErr w:type="spellStart"/>
      <w:r w:rsidRPr="00A55220">
        <w:rPr>
          <w:rFonts w:asciiTheme="majorBidi" w:hAnsiTheme="majorBidi" w:cstheme="majorBidi"/>
          <w:sz w:val="24"/>
        </w:rPr>
        <w:t>pseudomorphique</w:t>
      </w:r>
      <w:proofErr w:type="spellEnd"/>
      <w:r w:rsidRPr="00A55220">
        <w:rPr>
          <w:rFonts w:asciiTheme="majorBidi" w:hAnsiTheme="majorBidi" w:cstheme="majorBidi"/>
          <w:sz w:val="24"/>
        </w:rPr>
        <w:t xml:space="preserve"> (PHEMT) [6].</w:t>
      </w:r>
    </w:p>
    <w:p w:rsidR="00CC019A" w:rsidRPr="00FD7F8C" w:rsidRDefault="00140FC7" w:rsidP="00CC019A">
      <w:pPr>
        <w:pStyle w:val="Titre3"/>
        <w:spacing w:before="120"/>
        <w:rPr>
          <w:rFonts w:asciiTheme="majorBidi" w:hAnsiTheme="majorBidi" w:cstheme="majorBidi"/>
          <w:sz w:val="28"/>
          <w:szCs w:val="28"/>
        </w:rPr>
      </w:pPr>
      <w:bookmarkStart w:id="53" w:name="_Toc418546470"/>
      <w:bookmarkStart w:id="54" w:name="_Toc418550277"/>
      <w:r w:rsidRPr="00FD7F8C">
        <w:rPr>
          <w:rFonts w:asciiTheme="majorBidi" w:hAnsiTheme="majorBidi" w:cstheme="majorBidi"/>
          <w:sz w:val="28"/>
          <w:szCs w:val="28"/>
        </w:rPr>
        <w:t xml:space="preserve">I.9. </w:t>
      </w:r>
      <w:r w:rsidR="00CC019A" w:rsidRPr="00FD7F8C">
        <w:rPr>
          <w:rFonts w:asciiTheme="majorBidi" w:hAnsiTheme="majorBidi" w:cstheme="majorBidi"/>
          <w:sz w:val="28"/>
          <w:szCs w:val="28"/>
        </w:rPr>
        <w:t>CONCLUSION</w:t>
      </w:r>
      <w:bookmarkEnd w:id="53"/>
      <w:bookmarkEnd w:id="54"/>
    </w:p>
    <w:p w:rsidR="00CC019A" w:rsidRPr="00A55220" w:rsidRDefault="00CC019A" w:rsidP="00CC019A">
      <w:pPr>
        <w:autoSpaceDE w:val="0"/>
        <w:autoSpaceDN w:val="0"/>
        <w:spacing w:line="360" w:lineRule="auto"/>
        <w:ind w:firstLine="426"/>
        <w:rPr>
          <w:rFonts w:asciiTheme="majorBidi" w:hAnsiTheme="majorBidi" w:cstheme="majorBidi"/>
          <w:sz w:val="24"/>
          <w:lang w:eastAsia="en-US" w:bidi="ar-DZ"/>
        </w:rPr>
      </w:pPr>
      <w:r w:rsidRPr="00A55220">
        <w:rPr>
          <w:rFonts w:asciiTheme="majorBidi" w:hAnsiTheme="majorBidi" w:cstheme="majorBidi"/>
          <w:sz w:val="24"/>
        </w:rPr>
        <w:t>Après avoir rappelé la structure physique et le principe de fonctionnement des différents Semi-conducteurs, transistor bipolaire et transistors à effet de champ (JFET, MOSFET, MESFET et des HEMT), et à travers une analyse de leurs performances pour des différentes applications , nous nous sommes particulièrement intéressés au transistors MESFET à base de GaN qui se sont présentés comme éléments encourageants, vue leurs performances impressionnantes qui sont dû aux propriétés du matériaux  en particulier pour les hautes fréquences. Une étude détaillée des transistors MESFET double grille fera l’objet du chapitre suivant.</w:t>
      </w:r>
    </w:p>
    <w:p w:rsidR="000F49E1" w:rsidRPr="00A55220" w:rsidRDefault="000F49E1" w:rsidP="00CC019A">
      <w:pPr>
        <w:rPr>
          <w:rFonts w:asciiTheme="majorBidi" w:hAnsiTheme="majorBidi" w:cstheme="majorBidi"/>
          <w:sz w:val="24"/>
        </w:rPr>
      </w:pPr>
    </w:p>
    <w:sectPr w:rsidR="000F49E1" w:rsidRPr="00A55220" w:rsidSect="00C80099">
      <w:headerReference w:type="default" r:id="rId33"/>
      <w:footerReference w:type="default" r:id="rId34"/>
      <w:headerReference w:type="first" r:id="rId35"/>
      <w:footerReference w:type="first" r:id="rId36"/>
      <w:pgSz w:w="11906" w:h="16838"/>
      <w:pgMar w:top="1417" w:right="1417" w:bottom="1417" w:left="1417" w:header="567"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91A" w:rsidRDefault="0050391A" w:rsidP="008128D7">
      <w:r>
        <w:separator/>
      </w:r>
    </w:p>
  </w:endnote>
  <w:endnote w:type="continuationSeparator" w:id="0">
    <w:p w:rsidR="0050391A" w:rsidRDefault="0050391A" w:rsidP="008128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altName w:val="Times New Roman"/>
    <w:charset w:val="00"/>
    <w:family w:val="roman"/>
    <w:pitch w:val="variable"/>
    <w:sig w:usb0="00000000"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Pr>
      <w:id w:val="8967415"/>
      <w:docPartObj>
        <w:docPartGallery w:val="Page Numbers (Bottom of Page)"/>
        <w:docPartUnique/>
      </w:docPartObj>
    </w:sdtPr>
    <w:sdtContent>
      <w:p w:rsidR="008128D7" w:rsidRPr="00136A4B" w:rsidRDefault="008128D7" w:rsidP="002B761B">
        <w:pPr>
          <w:pStyle w:val="Pieddepage"/>
          <w:jc w:val="right"/>
          <w:rPr>
            <w:rFonts w:asciiTheme="majorBidi" w:hAnsiTheme="majorBidi" w:cstheme="majorBidi"/>
          </w:rPr>
        </w:pPr>
        <w:r w:rsidRPr="00136A4B">
          <w:rPr>
            <w:rFonts w:asciiTheme="majorBidi" w:hAnsiTheme="majorBidi" w:cstheme="majorBidi"/>
          </w:rPr>
          <w:t xml:space="preserve">  </w:t>
        </w:r>
        <w:r w:rsidR="00BC7ADE" w:rsidRPr="00136A4B">
          <w:rPr>
            <w:rFonts w:asciiTheme="majorBidi" w:hAnsiTheme="majorBidi" w:cstheme="majorBidi"/>
          </w:rPr>
          <w:fldChar w:fldCharType="begin"/>
        </w:r>
        <w:r w:rsidR="00932ACA" w:rsidRPr="00136A4B">
          <w:rPr>
            <w:rFonts w:asciiTheme="majorBidi" w:hAnsiTheme="majorBidi" w:cstheme="majorBidi"/>
          </w:rPr>
          <w:instrText xml:space="preserve"> PAGE   \* MERGEFORMAT </w:instrText>
        </w:r>
        <w:r w:rsidR="00BC7ADE" w:rsidRPr="00136A4B">
          <w:rPr>
            <w:rFonts w:asciiTheme="majorBidi" w:hAnsiTheme="majorBidi" w:cstheme="majorBidi"/>
          </w:rPr>
          <w:fldChar w:fldCharType="separate"/>
        </w:r>
        <w:r w:rsidR="00FC6B78">
          <w:rPr>
            <w:rFonts w:asciiTheme="majorBidi" w:hAnsiTheme="majorBidi" w:cstheme="majorBidi"/>
            <w:noProof/>
          </w:rPr>
          <w:t>10</w:t>
        </w:r>
        <w:r w:rsidR="00BC7ADE" w:rsidRPr="00136A4B">
          <w:rPr>
            <w:rFonts w:asciiTheme="majorBidi" w:hAnsiTheme="majorBidi" w:cstheme="majorBidi"/>
          </w:rPr>
          <w:fldChar w:fldCharType="end"/>
        </w:r>
        <w:r w:rsidRPr="00136A4B">
          <w:rPr>
            <w:rFonts w:asciiTheme="majorBidi" w:hAnsiTheme="majorBidi" w:cstheme="majorBidi"/>
          </w:rPr>
          <w:t xml:space="preserve"> </w:t>
        </w:r>
      </w:p>
    </w:sdtContent>
  </w:sdt>
  <w:p w:rsidR="008128D7" w:rsidRDefault="008128D7">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Pr>
      <w:id w:val="8967417"/>
      <w:docPartObj>
        <w:docPartGallery w:val="Page Numbers (Bottom of Page)"/>
        <w:docPartUnique/>
      </w:docPartObj>
    </w:sdtPr>
    <w:sdtContent>
      <w:p w:rsidR="00C80099" w:rsidRPr="00136A4B" w:rsidRDefault="00C80099" w:rsidP="002B761B">
        <w:pPr>
          <w:pStyle w:val="Pieddepage"/>
          <w:jc w:val="right"/>
          <w:rPr>
            <w:rFonts w:asciiTheme="majorBidi" w:hAnsiTheme="majorBidi" w:cstheme="majorBidi"/>
          </w:rPr>
        </w:pPr>
        <w:r w:rsidRPr="00136A4B">
          <w:rPr>
            <w:rFonts w:asciiTheme="majorBidi" w:hAnsiTheme="majorBidi" w:cstheme="majorBidi"/>
          </w:rPr>
          <w:t xml:space="preserve">  </w:t>
        </w:r>
        <w:r w:rsidR="00BC7ADE" w:rsidRPr="00136A4B">
          <w:rPr>
            <w:rFonts w:asciiTheme="majorBidi" w:hAnsiTheme="majorBidi" w:cstheme="majorBidi"/>
          </w:rPr>
          <w:fldChar w:fldCharType="begin"/>
        </w:r>
        <w:r w:rsidR="00932ACA" w:rsidRPr="00136A4B">
          <w:rPr>
            <w:rFonts w:asciiTheme="majorBidi" w:hAnsiTheme="majorBidi" w:cstheme="majorBidi"/>
          </w:rPr>
          <w:instrText xml:space="preserve"> PAGE   \* MERGEFORMAT </w:instrText>
        </w:r>
        <w:r w:rsidR="00BC7ADE" w:rsidRPr="00136A4B">
          <w:rPr>
            <w:rFonts w:asciiTheme="majorBidi" w:hAnsiTheme="majorBidi" w:cstheme="majorBidi"/>
          </w:rPr>
          <w:fldChar w:fldCharType="separate"/>
        </w:r>
        <w:r w:rsidR="00FC6B78">
          <w:rPr>
            <w:rFonts w:asciiTheme="majorBidi" w:hAnsiTheme="majorBidi" w:cstheme="majorBidi"/>
            <w:noProof/>
          </w:rPr>
          <w:t>1</w:t>
        </w:r>
        <w:r w:rsidR="00BC7ADE" w:rsidRPr="00136A4B">
          <w:rPr>
            <w:rFonts w:asciiTheme="majorBidi" w:hAnsiTheme="majorBidi" w:cstheme="majorBidi"/>
          </w:rPr>
          <w:fldChar w:fldCharType="end"/>
        </w:r>
        <w:r w:rsidRPr="00136A4B">
          <w:rPr>
            <w:rFonts w:asciiTheme="majorBidi" w:hAnsiTheme="majorBidi" w:cstheme="majorBidi"/>
          </w:rPr>
          <w:t xml:space="preserve"> </w:t>
        </w:r>
      </w:p>
    </w:sdtContent>
  </w:sdt>
  <w:p w:rsidR="00C80099" w:rsidRDefault="00C8009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91A" w:rsidRDefault="0050391A" w:rsidP="008128D7">
      <w:r>
        <w:separator/>
      </w:r>
    </w:p>
  </w:footnote>
  <w:footnote w:type="continuationSeparator" w:id="0">
    <w:p w:rsidR="0050391A" w:rsidRDefault="0050391A" w:rsidP="008128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0"/>
        <w:szCs w:val="20"/>
      </w:rPr>
      <w:alias w:val="Titre"/>
      <w:id w:val="77738743"/>
      <w:placeholder>
        <w:docPart w:val="51A8B7E12C7F44FE98C186453945F891"/>
      </w:placeholder>
      <w:dataBinding w:prefixMappings="xmlns:ns0='http://schemas.openxmlformats.org/package/2006/metadata/core-properties' xmlns:ns1='http://purl.org/dc/elements/1.1/'" w:xpath="/ns0:coreProperties[1]/ns1:title[1]" w:storeItemID="{6C3C8BC8-F283-45AE-878A-BAB7291924A1}"/>
      <w:text/>
    </w:sdtPr>
    <w:sdtContent>
      <w:p w:rsidR="008128D7" w:rsidRPr="008128D7" w:rsidRDefault="008128D7" w:rsidP="00F80B9D">
        <w:pPr>
          <w:pStyle w:val="En-tte"/>
          <w:pBdr>
            <w:bottom w:val="thickThinSmallGap" w:sz="24" w:space="1" w:color="622423" w:themeColor="accent2" w:themeShade="7F"/>
          </w:pBdr>
          <w:jc w:val="right"/>
          <w:rPr>
            <w:rFonts w:asciiTheme="majorHAnsi" w:eastAsiaTheme="majorEastAsia" w:hAnsiTheme="majorHAnsi" w:cstheme="majorBidi"/>
            <w:sz w:val="20"/>
            <w:szCs w:val="20"/>
          </w:rPr>
        </w:pPr>
        <w:r w:rsidRPr="008128D7">
          <w:rPr>
            <w:rFonts w:asciiTheme="majorHAnsi" w:eastAsiaTheme="majorEastAsia" w:hAnsiTheme="majorHAnsi" w:cstheme="majorBidi"/>
            <w:sz w:val="20"/>
            <w:szCs w:val="20"/>
          </w:rPr>
          <w:t xml:space="preserve">Chapitre </w:t>
        </w:r>
        <w:r w:rsidR="00F80B9D">
          <w:rPr>
            <w:rFonts w:asciiTheme="majorHAnsi" w:eastAsiaTheme="majorEastAsia" w:hAnsiTheme="majorHAnsi" w:cstheme="majorBidi"/>
            <w:sz w:val="20"/>
            <w:szCs w:val="20"/>
          </w:rPr>
          <w:t>I</w:t>
        </w:r>
        <w:r w:rsidRPr="008128D7">
          <w:rPr>
            <w:rFonts w:asciiTheme="majorHAnsi" w:eastAsiaTheme="majorEastAsia" w:hAnsiTheme="majorHAnsi" w:cstheme="majorBidi"/>
            <w:sz w:val="20"/>
            <w:szCs w:val="20"/>
          </w:rPr>
          <w:t xml:space="preserve">     </w:t>
        </w:r>
        <w:r>
          <w:rPr>
            <w:rFonts w:asciiTheme="majorHAnsi" w:eastAsiaTheme="majorEastAsia" w:hAnsiTheme="majorHAnsi" w:cstheme="majorBidi"/>
            <w:sz w:val="20"/>
            <w:szCs w:val="20"/>
          </w:rPr>
          <w:t xml:space="preserve">                                                                              </w:t>
        </w:r>
        <w:r w:rsidR="00C84D5A">
          <w:rPr>
            <w:rFonts w:asciiTheme="majorHAnsi" w:eastAsiaTheme="majorEastAsia" w:hAnsiTheme="majorHAnsi" w:cstheme="majorBidi"/>
            <w:sz w:val="20"/>
            <w:szCs w:val="20"/>
          </w:rPr>
          <w:t xml:space="preserve">                  </w:t>
        </w:r>
        <w:r w:rsidRPr="008128D7">
          <w:rPr>
            <w:rFonts w:asciiTheme="majorHAnsi" w:eastAsiaTheme="majorEastAsia" w:hAnsiTheme="majorHAnsi" w:cstheme="majorBidi"/>
            <w:sz w:val="20"/>
            <w:szCs w:val="20"/>
          </w:rPr>
          <w:t xml:space="preserve">  Les semi-conducteurs et leur</w:t>
        </w:r>
        <w:r w:rsidR="00C84D5A">
          <w:rPr>
            <w:rFonts w:asciiTheme="majorHAnsi" w:eastAsiaTheme="majorEastAsia" w:hAnsiTheme="majorHAnsi" w:cstheme="majorBidi"/>
            <w:sz w:val="20"/>
            <w:szCs w:val="20"/>
          </w:rPr>
          <w:t>s</w:t>
        </w:r>
        <w:r w:rsidRPr="008128D7">
          <w:rPr>
            <w:rFonts w:asciiTheme="majorHAnsi" w:eastAsiaTheme="majorEastAsia" w:hAnsiTheme="majorHAnsi" w:cstheme="majorBidi"/>
            <w:sz w:val="20"/>
            <w:szCs w:val="20"/>
          </w:rPr>
          <w:t xml:space="preserve"> application</w:t>
        </w:r>
        <w:r w:rsidR="00C84D5A">
          <w:rPr>
            <w:rFonts w:asciiTheme="majorHAnsi" w:eastAsiaTheme="majorEastAsia" w:hAnsiTheme="majorHAnsi" w:cstheme="majorBidi"/>
            <w:sz w:val="20"/>
            <w:szCs w:val="20"/>
          </w:rPr>
          <w:t>s</w:t>
        </w:r>
      </w:p>
    </w:sdtContent>
  </w:sdt>
  <w:p w:rsidR="008128D7" w:rsidRPr="008128D7" w:rsidRDefault="00C80099" w:rsidP="00C80099">
    <w:pPr>
      <w:pStyle w:val="En-tte"/>
      <w:tabs>
        <w:tab w:val="clear" w:pos="4536"/>
        <w:tab w:val="clear" w:pos="9072"/>
        <w:tab w:val="left" w:pos="3206"/>
      </w:tabs>
      <w:rPr>
        <w:sz w:val="20"/>
        <w:szCs w:val="20"/>
      </w:rPr>
    </w:pPr>
    <w:r>
      <w:rPr>
        <w:sz w:val="20"/>
        <w:szCs w:val="20"/>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38C" w:rsidRDefault="00BC7ADE" w:rsidP="004A038C">
    <w:pPr>
      <w:pStyle w:val="En-tte"/>
    </w:pPr>
    <w:r>
      <w:pict>
        <v:rect id="_x0000_i1025" style="width:453.6pt;height:1pt;mso-position-vertical:absolute" o:hralign="center" o:hrstd="t" o:hrnoshade="t" o:hr="t" fillcolor="black [3213]" stroked="f"/>
      </w:pict>
    </w:r>
  </w:p>
  <w:p w:rsidR="004A038C" w:rsidRDefault="004A038C" w:rsidP="004A038C">
    <w:pPr>
      <w:pStyle w:val="En-tte"/>
    </w:pPr>
  </w:p>
  <w:p w:rsidR="004A038C" w:rsidRPr="004A038C" w:rsidRDefault="004A038C" w:rsidP="00783512">
    <w:pPr>
      <w:pStyle w:val="En-tte"/>
      <w:rPr>
        <w:rFonts w:asciiTheme="majorBidi" w:hAnsiTheme="majorBidi" w:cstheme="majorBidi"/>
        <w:sz w:val="36"/>
        <w:szCs w:val="36"/>
      </w:rPr>
    </w:pPr>
    <w:r w:rsidRPr="004A038C">
      <w:rPr>
        <w:rFonts w:asciiTheme="majorBidi" w:hAnsiTheme="majorBidi" w:cstheme="majorBidi"/>
        <w:sz w:val="36"/>
        <w:szCs w:val="36"/>
      </w:rPr>
      <w:t xml:space="preserve">Chapitre </w:t>
    </w:r>
    <w:r w:rsidR="00783512">
      <w:rPr>
        <w:rFonts w:asciiTheme="majorBidi" w:hAnsiTheme="majorBidi" w:cstheme="majorBidi"/>
        <w:sz w:val="36"/>
        <w:szCs w:val="36"/>
      </w:rPr>
      <w:t>I</w:t>
    </w:r>
    <w:r w:rsidRPr="004A038C">
      <w:rPr>
        <w:rFonts w:asciiTheme="majorBidi" w:hAnsiTheme="majorBidi" w:cstheme="majorBidi"/>
        <w:sz w:val="36"/>
        <w:szCs w:val="36"/>
      </w:rPr>
      <w:t xml:space="preserve"> </w:t>
    </w:r>
  </w:p>
  <w:p w:rsidR="004A038C" w:rsidRPr="004A038C" w:rsidRDefault="004A038C" w:rsidP="004A038C">
    <w:pPr>
      <w:pStyle w:val="En-tte"/>
      <w:rPr>
        <w:rFonts w:asciiTheme="majorBidi" w:hAnsiTheme="majorBidi" w:cstheme="majorBidi"/>
        <w:sz w:val="36"/>
        <w:szCs w:val="36"/>
      </w:rPr>
    </w:pPr>
  </w:p>
  <w:p w:rsidR="004A038C" w:rsidRPr="004A038C" w:rsidRDefault="004A038C" w:rsidP="004A038C">
    <w:pPr>
      <w:pStyle w:val="En-tte"/>
      <w:jc w:val="center"/>
      <w:rPr>
        <w:rFonts w:asciiTheme="majorBidi" w:hAnsiTheme="majorBidi" w:cstheme="majorBidi"/>
        <w:i/>
        <w:iCs/>
        <w:sz w:val="52"/>
        <w:szCs w:val="52"/>
      </w:rPr>
    </w:pPr>
    <w:r w:rsidRPr="004A038C">
      <w:rPr>
        <w:rFonts w:asciiTheme="majorBidi" w:hAnsiTheme="majorBidi" w:cstheme="majorBidi"/>
        <w:i/>
        <w:iCs/>
        <w:sz w:val="52"/>
        <w:szCs w:val="52"/>
      </w:rPr>
      <w:t>Les semi-conducteur</w:t>
    </w:r>
    <w:r>
      <w:rPr>
        <w:rFonts w:asciiTheme="majorBidi" w:hAnsiTheme="majorBidi" w:cstheme="majorBidi"/>
        <w:i/>
        <w:iCs/>
        <w:sz w:val="52"/>
        <w:szCs w:val="52"/>
      </w:rPr>
      <w:t>s</w:t>
    </w:r>
    <w:r w:rsidRPr="004A038C">
      <w:rPr>
        <w:rFonts w:asciiTheme="majorBidi" w:hAnsiTheme="majorBidi" w:cstheme="majorBidi"/>
        <w:i/>
        <w:iCs/>
        <w:sz w:val="52"/>
        <w:szCs w:val="52"/>
      </w:rPr>
      <w:t xml:space="preserve"> et leurs applications</w:t>
    </w:r>
  </w:p>
  <w:p w:rsidR="004A038C" w:rsidRDefault="00BC7ADE" w:rsidP="004A038C">
    <w:pPr>
      <w:pStyle w:val="En-tte"/>
    </w:pPr>
    <w:r>
      <w:pict>
        <v:rect id="_x0000_i1026" style="width:453.6pt;height:1pt;mso-position-vertical:absolute" o:hralign="center" o:hrstd="t" o:hrnoshade="t" o:hr="t" fillcolor="black [3213]" stroked="f"/>
      </w:pict>
    </w:r>
  </w:p>
  <w:p w:rsidR="004A038C" w:rsidRDefault="004A038C">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57630"/>
    <w:multiLevelType w:val="hybridMultilevel"/>
    <w:tmpl w:val="6D4EDD3E"/>
    <w:lvl w:ilvl="0" w:tplc="34A4056C">
      <w:start w:val="2"/>
      <w:numFmt w:val="decimal"/>
      <w:lvlText w:val="I.%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8815E94"/>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39B16A84"/>
    <w:multiLevelType w:val="multilevel"/>
    <w:tmpl w:val="DCB81528"/>
    <w:lvl w:ilvl="0">
      <w:start w:val="1"/>
      <w:numFmt w:val="decimal"/>
      <w:pStyle w:val="Titre1"/>
      <w:suff w:val="nothing"/>
      <w:lvlText w:val="Chapitre  0%1"/>
      <w:lvlJc w:val="left"/>
      <w:pPr>
        <w:ind w:left="2552" w:firstLine="0"/>
      </w:pPr>
      <w:rPr>
        <w:rFonts w:ascii="Cambria" w:hAnsi="Cambria" w:hint="default"/>
        <w:b w:val="0"/>
        <w:bCs w:val="0"/>
        <w:i/>
        <w:iCs/>
        <w:caps w:val="0"/>
        <w:smallCaps w:val="0"/>
        <w:strike w:val="0"/>
        <w:dstrike w:val="0"/>
        <w:noProof w:val="0"/>
        <w:vanish w:val="0"/>
        <w:color w:val="000000"/>
        <w:spacing w:val="0"/>
        <w:kern w:val="0"/>
        <w:position w:val="0"/>
        <w:u w:val="none"/>
        <w:vertAlign w:val="baseline"/>
        <w:em w:val="none"/>
      </w:rPr>
    </w:lvl>
    <w:lvl w:ilvl="1">
      <w:start w:val="1"/>
      <w:numFmt w:val="decimal"/>
      <w:lvlText w:val="I.%2."/>
      <w:lvlJc w:val="left"/>
      <w:pPr>
        <w:ind w:left="-284" w:firstLine="284"/>
      </w:pPr>
      <w:rPr>
        <w:rFonts w:hint="default"/>
        <w:b/>
        <w:i w:val="0"/>
        <w:caps w:val="0"/>
        <w:strike w:val="0"/>
        <w:dstrike w:val="0"/>
        <w:vanish w:val="0"/>
        <w:color w:val="auto"/>
        <w:sz w:val="24"/>
        <w:vertAlign w:val="baseline"/>
      </w:rPr>
    </w:lvl>
    <w:lvl w:ilvl="2">
      <w:start w:val="1"/>
      <w:numFmt w:val="decimal"/>
      <w:suff w:val="space"/>
      <w:lvlText w:val="%1.%2.%3."/>
      <w:lvlJc w:val="left"/>
      <w:pPr>
        <w:ind w:left="-284" w:firstLine="284"/>
      </w:pPr>
      <w:rPr>
        <w:rFonts w:hint="default"/>
        <w:b/>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284" w:firstLine="284"/>
      </w:pPr>
      <w:rPr>
        <w:rFonts w:asciiTheme="majorBidi" w:hAnsiTheme="majorBidi" w:cstheme="majorBidi" w:hint="default"/>
        <w:b/>
        <w:bCs/>
        <w:i w:val="0"/>
        <w:iCs w:val="0"/>
        <w:caps w:val="0"/>
        <w:strike w:val="0"/>
        <w:dstrike w:val="0"/>
        <w:vanish w:val="0"/>
        <w:color w:val="000000"/>
        <w:sz w:val="24"/>
        <w:vertAlign w:val="baseline"/>
      </w:rPr>
    </w:lvl>
    <w:lvl w:ilvl="4">
      <w:start w:val="1"/>
      <w:numFmt w:val="lowerLetter"/>
      <w:suff w:val="space"/>
      <w:lvlText w:val="%5."/>
      <w:lvlJc w:val="left"/>
      <w:pPr>
        <w:ind w:left="-284" w:firstLine="568"/>
      </w:pPr>
      <w:rPr>
        <w:rFonts w:ascii="Times New Roman" w:hAnsi="Times New Roman" w:hint="default"/>
        <w:b/>
        <w:i/>
        <w:caps w:val="0"/>
        <w:strike w:val="0"/>
        <w:dstrike w:val="0"/>
        <w:vanish w:val="0"/>
        <w:color w:val="000000"/>
        <w:sz w:val="24"/>
        <w:vertAlign w:val="baseline"/>
      </w:rPr>
    </w:lvl>
    <w:lvl w:ilvl="5">
      <w:start w:val="1"/>
      <w:numFmt w:val="upperLetter"/>
      <w:lvlRestart w:val="3"/>
      <w:pStyle w:val="Titre7"/>
      <w:suff w:val="space"/>
      <w:lvlText w:val="Annexe %6."/>
      <w:lvlJc w:val="left"/>
      <w:pPr>
        <w:ind w:left="-284" w:firstLine="0"/>
      </w:pPr>
      <w:rPr>
        <w:rFonts w:ascii="Garamond" w:hAnsi="Garamond" w:hint="default"/>
        <w:b/>
        <w:i/>
        <w:caps w:val="0"/>
        <w:strike w:val="0"/>
        <w:dstrike w:val="0"/>
        <w:vanish w:val="0"/>
        <w:color w:val="000000"/>
        <w:sz w:val="32"/>
        <w:vertAlign w:val="baseline"/>
      </w:rPr>
    </w:lvl>
    <w:lvl w:ilvl="6">
      <w:start w:val="1"/>
      <w:numFmt w:val="decimal"/>
      <w:suff w:val="space"/>
      <w:lvlText w:val="%6.%7."/>
      <w:lvlJc w:val="left"/>
      <w:pPr>
        <w:ind w:left="-284" w:firstLine="284"/>
      </w:pPr>
      <w:rPr>
        <w:rFonts w:ascii="Garamond" w:hAnsi="Garamond" w:hint="default"/>
        <w:b/>
        <w:i w:val="0"/>
        <w:sz w:val="24"/>
      </w:rPr>
    </w:lvl>
    <w:lvl w:ilvl="7">
      <w:start w:val="1"/>
      <w:numFmt w:val="decimal"/>
      <w:lvlRestart w:val="1"/>
      <w:pStyle w:val="ExempleNo"/>
      <w:suff w:val="space"/>
      <w:lvlText w:val="Exemple %1.%8"/>
      <w:lvlJc w:val="left"/>
      <w:pPr>
        <w:ind w:left="0" w:firstLine="0"/>
      </w:pPr>
      <w:rPr>
        <w:rFonts w:ascii="Garamond" w:hAnsi="Garamond" w:cs="Times New Roman" w:hint="default"/>
        <w:b/>
        <w:bCs/>
        <w:i w:val="0"/>
        <w:iCs w:val="0"/>
        <w:caps w:val="0"/>
        <w:strike w:val="0"/>
        <w:dstrike w:val="0"/>
        <w:vanish w:val="0"/>
        <w:color w:val="000000"/>
        <w:sz w:val="24"/>
        <w:vertAlign w:val="baseline"/>
      </w:rPr>
    </w:lvl>
    <w:lvl w:ilvl="8">
      <w:start w:val="1"/>
      <w:numFmt w:val="none"/>
      <w:suff w:val="nothing"/>
      <w:lvlText w:val="Solution :"/>
      <w:lvlJc w:val="left"/>
      <w:pPr>
        <w:ind w:left="57" w:hanging="57"/>
      </w:pPr>
      <w:rPr>
        <w:rFonts w:ascii="Garamond" w:hAnsi="Garamond" w:hint="default"/>
        <w:b/>
        <w:i w:val="0"/>
        <w:caps w:val="0"/>
        <w:strike w:val="0"/>
        <w:dstrike w:val="0"/>
        <w:vanish w:val="0"/>
        <w:color w:val="000000"/>
        <w:sz w:val="24"/>
        <w:vertAlign w:val="baseline"/>
      </w:rPr>
    </w:lvl>
  </w:abstractNum>
  <w:abstractNum w:abstractNumId="3">
    <w:nsid w:val="3BFA169D"/>
    <w:multiLevelType w:val="hybridMultilevel"/>
    <w:tmpl w:val="AE7087B8"/>
    <w:lvl w:ilvl="0" w:tplc="040C0001">
      <w:start w:val="1"/>
      <w:numFmt w:val="bullet"/>
      <w:lvlText w:val=""/>
      <w:lvlJc w:val="left"/>
      <w:pPr>
        <w:ind w:left="778" w:hanging="360"/>
      </w:pPr>
      <w:rPr>
        <w:rFonts w:ascii="Symbol" w:hAnsi="Symbol"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4">
    <w:nsid w:val="68927DAB"/>
    <w:multiLevelType w:val="hybridMultilevel"/>
    <w:tmpl w:val="D14A9A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1"/>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35842"/>
  </w:hdrShapeDefaults>
  <w:footnotePr>
    <w:footnote w:id="-1"/>
    <w:footnote w:id="0"/>
  </w:footnotePr>
  <w:endnotePr>
    <w:endnote w:id="-1"/>
    <w:endnote w:id="0"/>
  </w:endnotePr>
  <w:compat/>
  <w:rsids>
    <w:rsidRoot w:val="000F49E1"/>
    <w:rsid w:val="00034BA3"/>
    <w:rsid w:val="00092A92"/>
    <w:rsid w:val="000F49E1"/>
    <w:rsid w:val="00136A4B"/>
    <w:rsid w:val="00140FC7"/>
    <w:rsid w:val="00181E1B"/>
    <w:rsid w:val="002B761B"/>
    <w:rsid w:val="003217D3"/>
    <w:rsid w:val="003A4F50"/>
    <w:rsid w:val="003C2505"/>
    <w:rsid w:val="003E34A0"/>
    <w:rsid w:val="003F156E"/>
    <w:rsid w:val="00404F1E"/>
    <w:rsid w:val="00412E84"/>
    <w:rsid w:val="00454AFF"/>
    <w:rsid w:val="00466B33"/>
    <w:rsid w:val="004A038C"/>
    <w:rsid w:val="004C49EF"/>
    <w:rsid w:val="0050391A"/>
    <w:rsid w:val="005217DF"/>
    <w:rsid w:val="005E067A"/>
    <w:rsid w:val="00617275"/>
    <w:rsid w:val="006607DA"/>
    <w:rsid w:val="00674A75"/>
    <w:rsid w:val="006A3CE8"/>
    <w:rsid w:val="006A69C0"/>
    <w:rsid w:val="006C1DFB"/>
    <w:rsid w:val="00743D41"/>
    <w:rsid w:val="00782100"/>
    <w:rsid w:val="00783512"/>
    <w:rsid w:val="007A4AB4"/>
    <w:rsid w:val="00805DCF"/>
    <w:rsid w:val="008128D7"/>
    <w:rsid w:val="00882C4E"/>
    <w:rsid w:val="00896B30"/>
    <w:rsid w:val="00922859"/>
    <w:rsid w:val="00932ACA"/>
    <w:rsid w:val="00960C72"/>
    <w:rsid w:val="009966B3"/>
    <w:rsid w:val="009E0E4A"/>
    <w:rsid w:val="00A536EA"/>
    <w:rsid w:val="00A55220"/>
    <w:rsid w:val="00A91C0D"/>
    <w:rsid w:val="00AF1D07"/>
    <w:rsid w:val="00B14407"/>
    <w:rsid w:val="00BC7ADE"/>
    <w:rsid w:val="00C01156"/>
    <w:rsid w:val="00C25952"/>
    <w:rsid w:val="00C80099"/>
    <w:rsid w:val="00C84D5A"/>
    <w:rsid w:val="00C85424"/>
    <w:rsid w:val="00C918B2"/>
    <w:rsid w:val="00CA128C"/>
    <w:rsid w:val="00CA6EC5"/>
    <w:rsid w:val="00CC019A"/>
    <w:rsid w:val="00CD4373"/>
    <w:rsid w:val="00E63145"/>
    <w:rsid w:val="00EE56C5"/>
    <w:rsid w:val="00F356EC"/>
    <w:rsid w:val="00F80B9D"/>
    <w:rsid w:val="00FC446E"/>
    <w:rsid w:val="00FC6B78"/>
    <w:rsid w:val="00FD7F8C"/>
    <w:rsid w:val="00FE389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0F49E1"/>
    <w:pPr>
      <w:widowControl w:val="0"/>
      <w:adjustRightInd w:val="0"/>
      <w:spacing w:after="0" w:line="240" w:lineRule="auto"/>
      <w:jc w:val="both"/>
      <w:textAlignment w:val="baseline"/>
    </w:pPr>
    <w:rPr>
      <w:rFonts w:ascii="Garamond" w:eastAsia="Times New Roman" w:hAnsi="Garamond" w:cs="Garamond"/>
      <w:szCs w:val="24"/>
      <w:lang w:eastAsia="fr-FR"/>
    </w:rPr>
  </w:style>
  <w:style w:type="paragraph" w:styleId="Titre1">
    <w:name w:val="heading 1"/>
    <w:next w:val="Titre2"/>
    <w:link w:val="Titre1Car"/>
    <w:uiPriority w:val="9"/>
    <w:qFormat/>
    <w:rsid w:val="000F49E1"/>
    <w:pPr>
      <w:keepNext/>
      <w:keepLines/>
      <w:pageBreakBefore/>
      <w:widowControl w:val="0"/>
      <w:numPr>
        <w:numId w:val="1"/>
      </w:numPr>
      <w:shd w:val="clear" w:color="auto" w:fill="FFFFFF"/>
      <w:adjustRightInd w:val="0"/>
      <w:spacing w:before="60" w:after="480" w:line="240" w:lineRule="auto"/>
      <w:ind w:left="0" w:right="6804"/>
      <w:textAlignment w:val="baseline"/>
      <w:outlineLvl w:val="0"/>
    </w:pPr>
    <w:rPr>
      <w:rFonts w:ascii="Cambria" w:eastAsia="Times New Roman" w:hAnsi="Cambria" w:cs="Times New Roman"/>
      <w:i/>
      <w:kern w:val="20"/>
      <w:sz w:val="52"/>
      <w:szCs w:val="24"/>
      <w:lang w:eastAsia="fr-FR"/>
    </w:rPr>
  </w:style>
  <w:style w:type="paragraph" w:styleId="Titre2">
    <w:name w:val="heading 2"/>
    <w:next w:val="Titre3"/>
    <w:link w:val="Titre2Car"/>
    <w:uiPriority w:val="9"/>
    <w:qFormat/>
    <w:rsid w:val="000F49E1"/>
    <w:pPr>
      <w:keepNext/>
      <w:keepLines/>
      <w:widowControl w:val="0"/>
      <w:pBdr>
        <w:bottom w:val="thickThinSmallGap" w:sz="36" w:space="1" w:color="auto"/>
      </w:pBdr>
      <w:adjustRightInd w:val="0"/>
      <w:spacing w:before="240" w:after="480" w:line="240" w:lineRule="auto"/>
      <w:jc w:val="right"/>
      <w:textAlignment w:val="baseline"/>
      <w:outlineLvl w:val="1"/>
    </w:pPr>
    <w:rPr>
      <w:rFonts w:ascii="Cambria" w:eastAsia="Times New Roman" w:hAnsi="Cambria" w:cs="Traditional Arabic"/>
      <w:bCs/>
      <w:smallCaps/>
      <w:kern w:val="24"/>
      <w:sz w:val="56"/>
      <w:szCs w:val="28"/>
      <w:lang w:eastAsia="fr-FR"/>
    </w:rPr>
  </w:style>
  <w:style w:type="paragraph" w:styleId="Titre3">
    <w:name w:val="heading 3"/>
    <w:next w:val="Normal"/>
    <w:link w:val="Titre3Car"/>
    <w:qFormat/>
    <w:rsid w:val="000F49E1"/>
    <w:pPr>
      <w:keepNext/>
      <w:keepLines/>
      <w:adjustRightInd w:val="0"/>
      <w:spacing w:before="360" w:after="120" w:line="360" w:lineRule="auto"/>
      <w:contextualSpacing/>
      <w:jc w:val="mediumKashida"/>
      <w:textAlignment w:val="baseline"/>
      <w:outlineLvl w:val="2"/>
    </w:pPr>
    <w:rPr>
      <w:rFonts w:ascii="Cambria" w:eastAsia="Times New Roman" w:hAnsi="Cambria" w:cs="Traditional Arabic"/>
      <w:b/>
      <w:iCs/>
      <w:kern w:val="20"/>
      <w:sz w:val="24"/>
      <w:szCs w:val="20"/>
      <w:lang w:bidi="ar-DZ"/>
    </w:rPr>
  </w:style>
  <w:style w:type="paragraph" w:styleId="Titre4">
    <w:name w:val="heading 4"/>
    <w:basedOn w:val="Titre3"/>
    <w:next w:val="Normal"/>
    <w:link w:val="Titre4Car"/>
    <w:qFormat/>
    <w:rsid w:val="000F49E1"/>
    <w:pPr>
      <w:numPr>
        <w:ilvl w:val="2"/>
      </w:numPr>
      <w:outlineLvl w:val="3"/>
    </w:pPr>
    <w:rPr>
      <w:rFonts w:cs="Times New Roman"/>
      <w:szCs w:val="27"/>
    </w:rPr>
  </w:style>
  <w:style w:type="paragraph" w:styleId="Titre5">
    <w:name w:val="heading 5"/>
    <w:basedOn w:val="Titre4"/>
    <w:next w:val="Normal"/>
    <w:link w:val="Titre5Car"/>
    <w:qFormat/>
    <w:rsid w:val="000F49E1"/>
    <w:pPr>
      <w:numPr>
        <w:ilvl w:val="3"/>
      </w:numPr>
      <w:tabs>
        <w:tab w:val="left" w:pos="1134"/>
      </w:tabs>
      <w:spacing w:before="240"/>
      <w:jc w:val="both"/>
      <w:textboxTightWrap w:val="allLines"/>
      <w:outlineLvl w:val="4"/>
    </w:pPr>
    <w:rPr>
      <w:i/>
      <w:szCs w:val="24"/>
    </w:rPr>
  </w:style>
  <w:style w:type="paragraph" w:styleId="Titre6">
    <w:name w:val="heading 6"/>
    <w:basedOn w:val="Titre5"/>
    <w:next w:val="Normal"/>
    <w:link w:val="Titre6Car"/>
    <w:qFormat/>
    <w:rsid w:val="000F49E1"/>
    <w:pPr>
      <w:numPr>
        <w:ilvl w:val="4"/>
      </w:numPr>
      <w:spacing w:before="120"/>
      <w:outlineLvl w:val="5"/>
    </w:pPr>
    <w:rPr>
      <w:rFonts w:ascii="Garamond" w:hAnsi="Garamond"/>
      <w:szCs w:val="26"/>
    </w:rPr>
  </w:style>
  <w:style w:type="paragraph" w:styleId="Titre7">
    <w:name w:val="heading 7"/>
    <w:basedOn w:val="Normal"/>
    <w:next w:val="Normal"/>
    <w:link w:val="Titre7Car"/>
    <w:qFormat/>
    <w:rsid w:val="000F49E1"/>
    <w:pPr>
      <w:keepNext/>
      <w:keepLines/>
      <w:pageBreakBefore/>
      <w:numPr>
        <w:ilvl w:val="5"/>
        <w:numId w:val="1"/>
      </w:numPr>
      <w:pBdr>
        <w:bottom w:val="thinThickThinSmallGap" w:sz="24" w:space="1" w:color="auto"/>
      </w:pBdr>
      <w:shd w:val="clear" w:color="auto" w:fill="E6E6E6"/>
      <w:spacing w:before="240" w:after="60" w:line="360" w:lineRule="auto"/>
      <w:outlineLvl w:val="6"/>
    </w:pPr>
    <w:rPr>
      <w:rFonts w:ascii="Times New Roman" w:hAnsi="Times New Roman" w:cs="Times New Roman"/>
      <w:sz w:val="32"/>
    </w:rPr>
  </w:style>
  <w:style w:type="paragraph" w:styleId="Titre8">
    <w:name w:val="heading 8"/>
    <w:basedOn w:val="Normal"/>
    <w:next w:val="Normal"/>
    <w:link w:val="Titre8Car"/>
    <w:uiPriority w:val="9"/>
    <w:semiHidden/>
    <w:unhideWhenUsed/>
    <w:qFormat/>
    <w:rsid w:val="000F49E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F49E1"/>
    <w:rPr>
      <w:rFonts w:ascii="Cambria" w:eastAsia="Times New Roman" w:hAnsi="Cambria" w:cs="Times New Roman"/>
      <w:i/>
      <w:kern w:val="20"/>
      <w:sz w:val="52"/>
      <w:szCs w:val="24"/>
      <w:shd w:val="clear" w:color="auto" w:fill="FFFFFF"/>
      <w:lang w:eastAsia="fr-FR"/>
    </w:rPr>
  </w:style>
  <w:style w:type="character" w:customStyle="1" w:styleId="Titre2Car">
    <w:name w:val="Titre 2 Car"/>
    <w:basedOn w:val="Policepardfaut"/>
    <w:link w:val="Titre2"/>
    <w:uiPriority w:val="9"/>
    <w:rsid w:val="000F49E1"/>
    <w:rPr>
      <w:rFonts w:ascii="Cambria" w:eastAsia="Times New Roman" w:hAnsi="Cambria" w:cs="Traditional Arabic"/>
      <w:bCs/>
      <w:smallCaps/>
      <w:kern w:val="24"/>
      <w:sz w:val="56"/>
      <w:szCs w:val="28"/>
      <w:lang w:eastAsia="fr-FR"/>
    </w:rPr>
  </w:style>
  <w:style w:type="character" w:customStyle="1" w:styleId="Titre3Car">
    <w:name w:val="Titre 3 Car"/>
    <w:basedOn w:val="Policepardfaut"/>
    <w:link w:val="Titre3"/>
    <w:rsid w:val="000F49E1"/>
    <w:rPr>
      <w:rFonts w:ascii="Cambria" w:eastAsia="Times New Roman" w:hAnsi="Cambria" w:cs="Traditional Arabic"/>
      <w:b/>
      <w:iCs/>
      <w:kern w:val="20"/>
      <w:sz w:val="24"/>
      <w:szCs w:val="20"/>
      <w:lang w:bidi="ar-DZ"/>
    </w:rPr>
  </w:style>
  <w:style w:type="character" w:customStyle="1" w:styleId="Titre4Car">
    <w:name w:val="Titre 4 Car"/>
    <w:basedOn w:val="Policepardfaut"/>
    <w:link w:val="Titre4"/>
    <w:rsid w:val="000F49E1"/>
    <w:rPr>
      <w:rFonts w:ascii="Cambria" w:eastAsia="Times New Roman" w:hAnsi="Cambria" w:cs="Times New Roman"/>
      <w:b/>
      <w:iCs/>
      <w:kern w:val="20"/>
      <w:sz w:val="24"/>
      <w:szCs w:val="27"/>
      <w:lang w:bidi="ar-DZ"/>
    </w:rPr>
  </w:style>
  <w:style w:type="character" w:customStyle="1" w:styleId="Titre5Car">
    <w:name w:val="Titre 5 Car"/>
    <w:basedOn w:val="Policepardfaut"/>
    <w:link w:val="Titre5"/>
    <w:rsid w:val="000F49E1"/>
    <w:rPr>
      <w:rFonts w:ascii="Cambria" w:eastAsia="Times New Roman" w:hAnsi="Cambria" w:cs="Times New Roman"/>
      <w:b/>
      <w:i/>
      <w:iCs/>
      <w:kern w:val="20"/>
      <w:sz w:val="24"/>
      <w:szCs w:val="24"/>
      <w:lang w:bidi="ar-DZ"/>
    </w:rPr>
  </w:style>
  <w:style w:type="character" w:customStyle="1" w:styleId="Titre6Car">
    <w:name w:val="Titre 6 Car"/>
    <w:basedOn w:val="Policepardfaut"/>
    <w:link w:val="Titre6"/>
    <w:rsid w:val="000F49E1"/>
    <w:rPr>
      <w:rFonts w:ascii="Garamond" w:eastAsia="Times New Roman" w:hAnsi="Garamond" w:cs="Times New Roman"/>
      <w:b/>
      <w:i/>
      <w:iCs/>
      <w:kern w:val="20"/>
      <w:sz w:val="24"/>
      <w:szCs w:val="26"/>
      <w:lang w:bidi="ar-DZ"/>
    </w:rPr>
  </w:style>
  <w:style w:type="character" w:customStyle="1" w:styleId="Titre7Car">
    <w:name w:val="Titre 7 Car"/>
    <w:basedOn w:val="Policepardfaut"/>
    <w:link w:val="Titre7"/>
    <w:rsid w:val="000F49E1"/>
    <w:rPr>
      <w:rFonts w:ascii="Times New Roman" w:eastAsia="Times New Roman" w:hAnsi="Times New Roman" w:cs="Times New Roman"/>
      <w:sz w:val="32"/>
      <w:szCs w:val="24"/>
      <w:shd w:val="clear" w:color="auto" w:fill="E6E6E6"/>
      <w:lang w:eastAsia="fr-FR"/>
    </w:rPr>
  </w:style>
  <w:style w:type="paragraph" w:styleId="Lgende">
    <w:name w:val="caption"/>
    <w:aliases w:val="Figure Légende"/>
    <w:basedOn w:val="Normal"/>
    <w:next w:val="Corpsdetexte2"/>
    <w:link w:val="LgendeCar"/>
    <w:qFormat/>
    <w:rsid w:val="000F49E1"/>
    <w:pPr>
      <w:widowControl/>
      <w:spacing w:after="240" w:line="360" w:lineRule="auto"/>
      <w:contextualSpacing/>
    </w:pPr>
    <w:rPr>
      <w:rFonts w:asciiTheme="majorBidi" w:hAnsiTheme="majorBidi" w:cs="Times New Roman"/>
      <w:b/>
      <w:bCs/>
    </w:rPr>
  </w:style>
  <w:style w:type="character" w:styleId="Lienhypertexte">
    <w:name w:val="Hyperlink"/>
    <w:basedOn w:val="Policepardfaut"/>
    <w:uiPriority w:val="99"/>
    <w:rsid w:val="000F49E1"/>
    <w:rPr>
      <w:color w:val="0000FF"/>
      <w:u w:val="single"/>
    </w:rPr>
  </w:style>
  <w:style w:type="character" w:customStyle="1" w:styleId="LgendeCar">
    <w:name w:val="Légende Car"/>
    <w:aliases w:val="Figure Légende Car"/>
    <w:basedOn w:val="Policepardfaut"/>
    <w:link w:val="Lgende"/>
    <w:rsid w:val="000F49E1"/>
    <w:rPr>
      <w:rFonts w:asciiTheme="majorBidi" w:eastAsia="Times New Roman" w:hAnsiTheme="majorBidi" w:cs="Times New Roman"/>
      <w:b/>
      <w:bCs/>
      <w:szCs w:val="24"/>
      <w:lang w:eastAsia="fr-FR"/>
    </w:rPr>
  </w:style>
  <w:style w:type="paragraph" w:customStyle="1" w:styleId="ExempleNo">
    <w:name w:val="Exemple No."/>
    <w:next w:val="Normal"/>
    <w:uiPriority w:val="99"/>
    <w:rsid w:val="000F49E1"/>
    <w:pPr>
      <w:keepNext/>
      <w:numPr>
        <w:ilvl w:val="7"/>
        <w:numId w:val="1"/>
      </w:numPr>
      <w:spacing w:before="100" w:beforeAutospacing="1" w:after="100" w:afterAutospacing="1" w:line="240" w:lineRule="auto"/>
    </w:pPr>
    <w:rPr>
      <w:rFonts w:ascii="Garamond" w:eastAsia="Times New Roman" w:hAnsi="Garamond" w:cs="Traditional Arabic"/>
      <w:i/>
      <w:color w:val="0000FF"/>
      <w:sz w:val="24"/>
      <w:szCs w:val="26"/>
      <w:lang w:eastAsia="fr-FR"/>
    </w:rPr>
  </w:style>
  <w:style w:type="paragraph" w:styleId="Paragraphedeliste">
    <w:name w:val="List Paragraph"/>
    <w:basedOn w:val="Normal"/>
    <w:uiPriority w:val="34"/>
    <w:qFormat/>
    <w:rsid w:val="000F49E1"/>
    <w:pPr>
      <w:widowControl/>
      <w:adjustRightInd/>
      <w:spacing w:after="200" w:line="276" w:lineRule="auto"/>
      <w:ind w:left="720"/>
      <w:contextualSpacing/>
      <w:jc w:val="left"/>
      <w:textAlignment w:val="auto"/>
    </w:pPr>
    <w:rPr>
      <w:rFonts w:asciiTheme="minorHAnsi" w:eastAsiaTheme="minorHAnsi" w:hAnsiTheme="minorHAnsi" w:cstheme="minorBidi"/>
      <w:szCs w:val="22"/>
      <w:lang w:eastAsia="en-US"/>
    </w:rPr>
  </w:style>
  <w:style w:type="paragraph" w:styleId="NormalWeb">
    <w:name w:val="Normal (Web)"/>
    <w:basedOn w:val="Normal"/>
    <w:uiPriority w:val="99"/>
    <w:unhideWhenUsed/>
    <w:rsid w:val="000F49E1"/>
    <w:pPr>
      <w:widowControl/>
      <w:adjustRightInd/>
      <w:spacing w:before="100" w:beforeAutospacing="1" w:after="100" w:afterAutospacing="1"/>
      <w:jc w:val="left"/>
      <w:textAlignment w:val="auto"/>
    </w:pPr>
    <w:rPr>
      <w:rFonts w:ascii="Times New Roman" w:hAnsi="Times New Roman" w:cs="Times New Roman"/>
      <w:sz w:val="24"/>
    </w:rPr>
  </w:style>
  <w:style w:type="character" w:customStyle="1" w:styleId="apple-converted-space">
    <w:name w:val="apple-converted-space"/>
    <w:basedOn w:val="Policepardfaut"/>
    <w:rsid w:val="000F49E1"/>
  </w:style>
  <w:style w:type="character" w:customStyle="1" w:styleId="Titre8Car">
    <w:name w:val="Titre 8 Car"/>
    <w:basedOn w:val="Policepardfaut"/>
    <w:link w:val="Titre8"/>
    <w:uiPriority w:val="9"/>
    <w:semiHidden/>
    <w:rsid w:val="000F49E1"/>
    <w:rPr>
      <w:rFonts w:asciiTheme="majorHAnsi" w:eastAsiaTheme="majorEastAsia" w:hAnsiTheme="majorHAnsi" w:cstheme="majorBidi"/>
      <w:color w:val="404040" w:themeColor="text1" w:themeTint="BF"/>
      <w:sz w:val="20"/>
      <w:szCs w:val="20"/>
      <w:lang w:eastAsia="fr-FR"/>
    </w:rPr>
  </w:style>
  <w:style w:type="paragraph" w:styleId="Corpsdetexte2">
    <w:name w:val="Body Text 2"/>
    <w:basedOn w:val="Normal"/>
    <w:link w:val="Corpsdetexte2Car"/>
    <w:uiPriority w:val="99"/>
    <w:semiHidden/>
    <w:unhideWhenUsed/>
    <w:rsid w:val="000F49E1"/>
    <w:pPr>
      <w:spacing w:after="120" w:line="480" w:lineRule="auto"/>
    </w:pPr>
  </w:style>
  <w:style w:type="character" w:customStyle="1" w:styleId="Corpsdetexte2Car">
    <w:name w:val="Corps de texte 2 Car"/>
    <w:basedOn w:val="Policepardfaut"/>
    <w:link w:val="Corpsdetexte2"/>
    <w:uiPriority w:val="99"/>
    <w:semiHidden/>
    <w:rsid w:val="000F49E1"/>
    <w:rPr>
      <w:rFonts w:ascii="Garamond" w:eastAsia="Times New Roman" w:hAnsi="Garamond" w:cs="Garamond"/>
      <w:szCs w:val="24"/>
      <w:lang w:eastAsia="fr-FR"/>
    </w:rPr>
  </w:style>
  <w:style w:type="paragraph" w:styleId="Textedebulles">
    <w:name w:val="Balloon Text"/>
    <w:basedOn w:val="Normal"/>
    <w:link w:val="TextedebullesCar"/>
    <w:uiPriority w:val="99"/>
    <w:semiHidden/>
    <w:unhideWhenUsed/>
    <w:rsid w:val="000F49E1"/>
    <w:rPr>
      <w:rFonts w:ascii="Tahoma" w:hAnsi="Tahoma" w:cs="Tahoma"/>
      <w:sz w:val="16"/>
      <w:szCs w:val="16"/>
    </w:rPr>
  </w:style>
  <w:style w:type="character" w:customStyle="1" w:styleId="TextedebullesCar">
    <w:name w:val="Texte de bulles Car"/>
    <w:basedOn w:val="Policepardfaut"/>
    <w:link w:val="Textedebulles"/>
    <w:uiPriority w:val="99"/>
    <w:semiHidden/>
    <w:rsid w:val="000F49E1"/>
    <w:rPr>
      <w:rFonts w:ascii="Tahoma" w:eastAsia="Times New Roman" w:hAnsi="Tahoma" w:cs="Tahoma"/>
      <w:sz w:val="16"/>
      <w:szCs w:val="16"/>
      <w:lang w:eastAsia="fr-FR"/>
    </w:rPr>
  </w:style>
  <w:style w:type="paragraph" w:styleId="En-tte">
    <w:name w:val="header"/>
    <w:basedOn w:val="Normal"/>
    <w:link w:val="En-tteCar"/>
    <w:uiPriority w:val="99"/>
    <w:unhideWhenUsed/>
    <w:rsid w:val="008128D7"/>
    <w:pPr>
      <w:tabs>
        <w:tab w:val="center" w:pos="4536"/>
        <w:tab w:val="right" w:pos="9072"/>
      </w:tabs>
    </w:pPr>
  </w:style>
  <w:style w:type="character" w:customStyle="1" w:styleId="En-tteCar">
    <w:name w:val="En-tête Car"/>
    <w:basedOn w:val="Policepardfaut"/>
    <w:link w:val="En-tte"/>
    <w:uiPriority w:val="99"/>
    <w:rsid w:val="008128D7"/>
    <w:rPr>
      <w:rFonts w:ascii="Garamond" w:eastAsia="Times New Roman" w:hAnsi="Garamond" w:cs="Garamond"/>
      <w:szCs w:val="24"/>
      <w:lang w:eastAsia="fr-FR"/>
    </w:rPr>
  </w:style>
  <w:style w:type="paragraph" w:styleId="Pieddepage">
    <w:name w:val="footer"/>
    <w:basedOn w:val="Normal"/>
    <w:link w:val="PieddepageCar"/>
    <w:uiPriority w:val="99"/>
    <w:unhideWhenUsed/>
    <w:rsid w:val="008128D7"/>
    <w:pPr>
      <w:tabs>
        <w:tab w:val="center" w:pos="4536"/>
        <w:tab w:val="right" w:pos="9072"/>
      </w:tabs>
    </w:pPr>
  </w:style>
  <w:style w:type="character" w:customStyle="1" w:styleId="PieddepageCar">
    <w:name w:val="Pied de page Car"/>
    <w:basedOn w:val="Policepardfaut"/>
    <w:link w:val="Pieddepage"/>
    <w:uiPriority w:val="99"/>
    <w:rsid w:val="008128D7"/>
    <w:rPr>
      <w:rFonts w:ascii="Garamond" w:eastAsia="Times New Roman" w:hAnsi="Garamond" w:cs="Garamond"/>
      <w:szCs w:val="24"/>
      <w:lang w:eastAsia="fr-FR"/>
    </w:rPr>
  </w:style>
  <w:style w:type="numbering" w:styleId="111111">
    <w:name w:val="Outline List 2"/>
    <w:basedOn w:val="Aucuneliste"/>
    <w:semiHidden/>
    <w:rsid w:val="00CC019A"/>
    <w:pPr>
      <w:numPr>
        <w:numId w:val="28"/>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Isolant_%C3%A9lectrique" TargetMode="External"/><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image" Target="media/image7.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fr.wikipedia.org/wiki/Modulation_du_signal" TargetMode="External"/><Relationship Id="rId34" Type="http://schemas.openxmlformats.org/officeDocument/2006/relationships/footer" Target="footer1.xml"/><Relationship Id="rId7" Type="http://schemas.openxmlformats.org/officeDocument/2006/relationships/hyperlink" Target="http://fr.wikipedia.org/wiki/Mat%C3%A9riau" TargetMode="External"/><Relationship Id="rId12" Type="http://schemas.openxmlformats.org/officeDocument/2006/relationships/image" Target="media/image1.png"/><Relationship Id="rId17" Type="http://schemas.openxmlformats.org/officeDocument/2006/relationships/hyperlink" Target="http://fr.wikipedia.org/wiki/Transistor_bipolaire" TargetMode="External"/><Relationship Id="rId25" Type="http://schemas.openxmlformats.org/officeDocument/2006/relationships/image" Target="media/image6.png"/><Relationship Id="rId33" Type="http://schemas.openxmlformats.org/officeDocument/2006/relationships/header" Target="header1.xml"/><Relationship Id="rId38"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http://fr.wikipedia.org/wiki/Diode" TargetMode="External"/><Relationship Id="rId20" Type="http://schemas.openxmlformats.org/officeDocument/2006/relationships/hyperlink" Target="http://fr.wikipedia.org/wiki/Tension_%C3%A9lectrique" TargetMode="External"/><Relationship Id="rId29"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r.wikipedia.org/wiki/M%C3%A9tal" TargetMode="External"/><Relationship Id="rId24" Type="http://schemas.openxmlformats.org/officeDocument/2006/relationships/image" Target="media/image5.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fr.wikipedia.org/wiki/Courant_alternatif" TargetMode="External"/><Relationship Id="rId23" Type="http://schemas.openxmlformats.org/officeDocument/2006/relationships/image" Target="media/image4.emf"/><Relationship Id="rId28" Type="http://schemas.openxmlformats.org/officeDocument/2006/relationships/image" Target="media/image9.emf"/><Relationship Id="rId36" Type="http://schemas.openxmlformats.org/officeDocument/2006/relationships/footer" Target="footer2.xml"/><Relationship Id="rId10" Type="http://schemas.openxmlformats.org/officeDocument/2006/relationships/hyperlink" Target="http://fr.wikipedia.org/wiki/Conductivit%C3%A9_%C3%A9lectrique" TargetMode="External"/><Relationship Id="rId19" Type="http://schemas.openxmlformats.org/officeDocument/2006/relationships/hyperlink" Target="http://fr.wikipedia.org/wiki/Transistor_bipolaire" TargetMode="External"/><Relationship Id="rId31"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hyperlink" Target="http://fr.wikipedia.org/wiki/%C3%89lectron" TargetMode="External"/><Relationship Id="rId14" Type="http://schemas.openxmlformats.org/officeDocument/2006/relationships/hyperlink" Target="http://fr.wikipedia.org/wiki/Niveau_de_Fermi" TargetMode="External"/><Relationship Id="rId22" Type="http://schemas.openxmlformats.org/officeDocument/2006/relationships/hyperlink" Target="http://fr.wikipedia.org/wiki/Signal_%C3%A9lectrique" TargetMode="External"/><Relationship Id="rId27" Type="http://schemas.openxmlformats.org/officeDocument/2006/relationships/image" Target="media/image8.emf"/><Relationship Id="rId30" Type="http://schemas.openxmlformats.org/officeDocument/2006/relationships/image" Target="media/image11.png"/><Relationship Id="rId35"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1A8B7E12C7F44FE98C186453945F891"/>
        <w:category>
          <w:name w:val="Général"/>
          <w:gallery w:val="placeholder"/>
        </w:category>
        <w:types>
          <w:type w:val="bbPlcHdr"/>
        </w:types>
        <w:behaviors>
          <w:behavior w:val="content"/>
        </w:behaviors>
        <w:guid w:val="{98186B84-A64B-434D-BF6D-107E7666F4AE}"/>
      </w:docPartPr>
      <w:docPartBody>
        <w:p w:rsidR="00DF1A29" w:rsidRDefault="00322933" w:rsidP="00322933">
          <w:pPr>
            <w:pStyle w:val="51A8B7E12C7F44FE98C186453945F891"/>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altName w:val="Times New Roman"/>
    <w:charset w:val="00"/>
    <w:family w:val="roman"/>
    <w:pitch w:val="variable"/>
    <w:sig w:usb0="00000000"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3F4BEE"/>
    <w:rsid w:val="00065F35"/>
    <w:rsid w:val="00211B7A"/>
    <w:rsid w:val="00322933"/>
    <w:rsid w:val="00340DB9"/>
    <w:rsid w:val="003F4BEE"/>
    <w:rsid w:val="00765484"/>
    <w:rsid w:val="00854089"/>
    <w:rsid w:val="00A62E55"/>
    <w:rsid w:val="00B76957"/>
    <w:rsid w:val="00C27A01"/>
    <w:rsid w:val="00D70D0F"/>
    <w:rsid w:val="00DF1A29"/>
    <w:rsid w:val="00FB153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A0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0F3766614CF4ADC8392D0F4A9877DA4">
    <w:name w:val="70F3766614CF4ADC8392D0F4A9877DA4"/>
    <w:rsid w:val="003F4BEE"/>
  </w:style>
  <w:style w:type="paragraph" w:customStyle="1" w:styleId="8C80C03BB55C4C1EBE504999D7CAE24B">
    <w:name w:val="8C80C03BB55C4C1EBE504999D7CAE24B"/>
    <w:rsid w:val="003F4BEE"/>
  </w:style>
  <w:style w:type="paragraph" w:customStyle="1" w:styleId="FE32CA322EE94407894A1EFDD8B6FC96">
    <w:name w:val="FE32CA322EE94407894A1EFDD8B6FC96"/>
    <w:rsid w:val="003F4BEE"/>
  </w:style>
  <w:style w:type="paragraph" w:customStyle="1" w:styleId="51A8B7E12C7F44FE98C186453945F891">
    <w:name w:val="51A8B7E12C7F44FE98C186453945F891"/>
    <w:rsid w:val="0032293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16</Pages>
  <Words>4755</Words>
  <Characters>26154</Characters>
  <Application>Microsoft Office Word</Application>
  <DocSecurity>0</DocSecurity>
  <Lines>217</Lines>
  <Paragraphs>61</Paragraphs>
  <ScaleCrop>false</ScaleCrop>
  <HeadingPairs>
    <vt:vector size="2" baseType="variant">
      <vt:variant>
        <vt:lpstr>Titre</vt:lpstr>
      </vt:variant>
      <vt:variant>
        <vt:i4>1</vt:i4>
      </vt:variant>
    </vt:vector>
  </HeadingPairs>
  <TitlesOfParts>
    <vt:vector size="1" baseType="lpstr">
      <vt:lpstr>Chapitre 1                                                                                                       Les semi-conducteurs et leurs applications</vt:lpstr>
    </vt:vector>
  </TitlesOfParts>
  <Company/>
  <LinksUpToDate>false</LinksUpToDate>
  <CharactersWithSpaces>30848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Les semi-conducteurs et leurs applications</dc:title>
  <dc:subject/>
  <dc:creator>saaid</dc:creator>
  <cp:keywords/>
  <dc:description/>
  <cp:lastModifiedBy>saaid</cp:lastModifiedBy>
  <cp:revision>28</cp:revision>
  <cp:lastPrinted>2015-05-29T19:09:00Z</cp:lastPrinted>
  <dcterms:created xsi:type="dcterms:W3CDTF">2015-05-16T10:02:00Z</dcterms:created>
  <dcterms:modified xsi:type="dcterms:W3CDTF">2015-06-16T11:24:00Z</dcterms:modified>
</cp:coreProperties>
</file>